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Burns Stephen S.</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Lordstown Motors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RIDE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TUCKER ELLIS LLP, 950 MAIN AVENUE,</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11/08/2022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CLEVELAND  OH</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44113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11/08/2022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4,205,000</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31,157,745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tcPr>
          <w:p>
            <w:pPr>
              <w:ind w:left="820"/>
              <w:spacing w:after="0"/>
              <w:rPr>
                <w:sz w:val="20"/>
                <w:szCs w:val="20"/>
                <w:color w:val="auto"/>
              </w:rPr>
            </w:pPr>
            <w:r>
              <w:rPr>
                <w:rFonts w:ascii="Times New Roman" w:cs="Times New Roman" w:eastAsia="Times New Roman" w:hAnsi="Times New Roman"/>
                <w:sz w:val="17"/>
                <w:szCs w:val="17"/>
                <w:color w:val="0000FF"/>
              </w:rPr>
              <w:t>11/09/2022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555,000</w:t>
            </w:r>
          </w:p>
        </w:tc>
        <w:tc>
          <w:tcPr>
            <w:tcW w:w="4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20" w:type="dxa"/>
            <w:vAlign w:val="bottom"/>
            <w:gridSpan w:val="4"/>
          </w:tcPr>
          <w:p>
            <w:pPr>
              <w:jc w:val="center"/>
              <w:ind w:right="9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30,602,745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120" w:type="dxa"/>
            <w:vAlign w:val="bottom"/>
            <w:tcBorders>
              <w:bottom w:val="single" w:sz="8" w:color="2C2C2C"/>
            </w:tcBorders>
            <w:gridSpan w:val="4"/>
          </w:tcPr>
          <w:p>
            <w:pPr>
              <w:spacing w:after="0"/>
              <w:rPr>
                <w:sz w:val="8"/>
                <w:szCs w:val="8"/>
                <w:color w:val="auto"/>
              </w:rPr>
            </w:pPr>
          </w:p>
        </w:tc>
        <w:tc>
          <w:tcPr>
            <w:tcW w:w="18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of Class A Common Stock were sold in multiple transactions at prices ranging from $1.75 to $2.18, inclusive. The Reporting Person undertakes to provide Lordstown Motors Corp., any shareholder of Lordstown Motors Corp. or the SEC staff, upon request, full information of the number of shares sold at each price within the range.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Robert M. Loesch. by</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11/10/2022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1717" TargetMode="External"/><Relationship Id="rId13" Type="http://schemas.openxmlformats.org/officeDocument/2006/relationships/hyperlink" Target="http://www.sec.gov/cgi-bin/browse-edgar?action=getcompany&amp;CIK=0001759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2022-11-10T13:10:29Z</dcterms:created>
  <dcterms:modified xsi:type="dcterms:W3CDTF">2022-11-10T13:10:29Z</dcterms:modified>
</cp:coreProperties>
</file>