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83-2533239</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1700 Broadway, 19th Floor</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New York, New York 10019</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202-2200</w:t>
            </w:r>
          </w:p>
        </w:tc>
        <w:tc>
          <w:tcPr>
            <w:tcW w:w="170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2026, Nu Ride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Loan and Security Agreement with Foxpoint Florida II, LLC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certain other lenders party thereto (the “</w:t>
      </w:r>
      <w:r>
        <w:rPr>
          <w:rFonts w:ascii="Times New Roman" w:cs="Times New Roman" w:eastAsia="Times New Roman" w:hAnsi="Times New Roman"/>
          <w:sz w:val="18"/>
          <w:szCs w:val="18"/>
          <w:b w:val="1"/>
          <w:bCs w:val="1"/>
          <w:color w:val="auto"/>
        </w:rPr>
        <w:t>LSA</w:t>
      </w:r>
      <w:r>
        <w:rPr>
          <w:rFonts w:ascii="Times New Roman" w:cs="Times New Roman" w:eastAsia="Times New Roman" w:hAnsi="Times New Roman"/>
          <w:sz w:val="18"/>
          <w:szCs w:val="18"/>
          <w:color w:val="auto"/>
        </w:rPr>
        <w:t>”), pursuant to which the Company loaned Borrower $5.5 million (out of aggregate loan proceeds of $7.5 million) to finance the acquisition by Borrower of certain billboard leasehold assets, including structures and permits, in Florida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Loan is secured by a first priority lien on substantially all the assets of Borrower, as well as a pledge of all equity interests in Borrower held by its owner, and bears interest at 15% per annum, payable monthly in cash, with payment in full of principal and accrued interest on January 23, 2029, and contains representations and warranties, covenants, events of default and conditions customary for loans of this type. Additionally, the Company will receive equity interests in Borrower representing approximately 29.3% of the aggregate equity interests (out of aggregate equity interests issued to Lenders representing 40%), subject to reduction to an aggregate of 30% if the Loan is repaid in full on or prior to the second anniversary of closing, and 20% if the Loan is repaid in full on or prior to the first anniversary of closing.</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December 30, 2025, the Company entered into a Funding Agreement and Secured Promissory Note with Foxpoint Florida, LLC (“</w:t>
      </w:r>
      <w:r>
        <w:rPr>
          <w:rFonts w:ascii="Times New Roman" w:cs="Times New Roman" w:eastAsia="Times New Roman" w:hAnsi="Times New Roman"/>
          <w:sz w:val="18"/>
          <w:szCs w:val="18"/>
          <w:b w:val="1"/>
          <w:bCs w:val="1"/>
          <w:color w:val="auto"/>
        </w:rPr>
        <w:t>FP I</w:t>
      </w:r>
      <w:r>
        <w:rPr>
          <w:rFonts w:ascii="Times New Roman" w:cs="Times New Roman" w:eastAsia="Times New Roman" w:hAnsi="Times New Roman"/>
          <w:sz w:val="18"/>
          <w:szCs w:val="18"/>
          <w:color w:val="auto"/>
        </w:rPr>
        <w:t>”, and such documents,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pursuant to which the Company loaned FP I $2.125 million to finance the acquisition by FP I of certain billboard leasehold assets in Florida (the “</w:t>
      </w:r>
      <w:r>
        <w:rPr>
          <w:rFonts w:ascii="Times New Roman" w:cs="Times New Roman" w:eastAsia="Times New Roman" w:hAnsi="Times New Roman"/>
          <w:sz w:val="18"/>
          <w:szCs w:val="18"/>
          <w:b w:val="1"/>
          <w:bCs w:val="1"/>
          <w:color w:val="auto"/>
        </w:rPr>
        <w:t>FP I Loan</w:t>
      </w:r>
      <w:r>
        <w:rPr>
          <w:rFonts w:ascii="Times New Roman" w:cs="Times New Roman" w:eastAsia="Times New Roman" w:hAnsi="Times New Roman"/>
          <w:sz w:val="18"/>
          <w:szCs w:val="18"/>
          <w:color w:val="auto"/>
        </w:rPr>
        <w:t>”). The FP I Loan is secured by substantially the same type of collateral and has substantially the same terms as the Loan described in Item 1.01 above, including 40% of the equity interests in FP I, subject to potential reduction upon prepayment of the FP I Loan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2"/>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Alexander Matina</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Matina</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2026-01-23T16:20:02Z</dcterms:created>
  <dcterms:modified xsi:type="dcterms:W3CDTF">2026-01-23T16:20:02Z</dcterms:modified>
</cp:coreProperties>
</file>