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7,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LORDSTOWN MOTORS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83-2533239</w:t>
            </w:r>
          </w:p>
        </w:tc>
      </w:tr>
      <w:tr>
        <w:trPr>
          <w:trHeight w:val="216"/>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2300 Hallock Young Road</w:t>
            </w:r>
          </w:p>
        </w:tc>
        <w:tc>
          <w:tcPr>
            <w:tcW w:w="1660" w:type="dxa"/>
            <w:vAlign w:val="bottom"/>
          </w:tcPr>
          <w:p>
            <w:pPr>
              <w:spacing w:after="0"/>
              <w:rPr>
                <w:sz w:val="24"/>
                <w:szCs w:val="24"/>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Lordstown, Ohio 44481</w:t>
            </w:r>
          </w:p>
        </w:tc>
        <w:tc>
          <w:tcPr>
            <w:tcW w:w="166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(234) 285-4001</w:t>
            </w:r>
          </w:p>
        </w:tc>
        <w:tc>
          <w:tcPr>
            <w:tcW w:w="1660" w:type="dxa"/>
            <w:vAlign w:val="bottom"/>
          </w:tcPr>
          <w:p>
            <w:pPr>
              <w:spacing w:after="0"/>
              <w:rPr>
                <w:sz w:val="24"/>
                <w:szCs w:val="24"/>
                <w:color w:val="auto"/>
              </w:rPr>
            </w:pPr>
          </w:p>
        </w:tc>
      </w:tr>
      <w:tr>
        <w:trPr>
          <w:trHeight w:val="414"/>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660" w:type="dxa"/>
            <w:vAlign w:val="bottom"/>
          </w:tcPr>
          <w:p>
            <w:pPr>
              <w:spacing w:after="0"/>
              <w:rPr>
                <w:sz w:val="24"/>
                <w:szCs w:val="24"/>
                <w:color w:val="auto"/>
              </w:rPr>
            </w:pPr>
          </w:p>
        </w:tc>
      </w:tr>
      <w:tr>
        <w:trPr>
          <w:trHeight w:val="234"/>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20" w:hanging="329"/>
        <w:spacing w:after="0"/>
        <w:tabs>
          <w:tab w:leader="none" w:pos="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0"/>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8"/>
        </w:trPr>
        <w:tc>
          <w:tcPr>
            <w:tcW w:w="4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RIDE</w:t>
            </w:r>
          </w:p>
        </w:tc>
        <w:tc>
          <w:tcPr>
            <w:tcW w:w="16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7, 2022, Lordstown Motors Corp. (the “Company”), entered into an Investment Agreement (the “Investment Agreement”) with Foxconn Ventures Pte. Ltd., an affiliate of global technology company Hon Hai Technology Group (“Foxconn”), pursuant to which Foxconn agreed to make an additional equity investment (collectively, the “Investment Transactions”) in the Company in the form of up to $70 million of our Class A common stock, $0.0001 par value per share (the “Common Stock”), and up to $100 million of Series A Convertible Preferred Stock, $0.0001 par value per share (the “Preferred Stock,” and together with the Common Stock, the “Securities”). The Company will use the proceeds from the sale of the Common Stock for general corporate purposes as determined by the Company’s Board of Directors (the “Board”) and the proceeds from the sale of the Preferred Stock to fund pre-development and design activities for a new electric vehicle program in collaboration with Foxconn (the “EV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Agreement</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an initial closing to be held on or after November 22, 2022 (the “Initial Closing”), subject to the conditions set forth in the Investment Agreement, Foxconn will purchase: (a) 12,917,274 shares of Common Stock at a purchase price of $1.76 per share for an aggregate purchase price of approximately $22.7 million, and (b) 300,000 shares of Preferred Stock at a purchase price of $100 per share for an aggregate purchase price of $30 million.</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any applicable waiting period under the Hart-Scott-Rodino Antitrust Improvements Act of 1976, as amended, has expired or terminated and subject to the other conditions set forth in the Investment Agreement, at a second closing (the “Subsequent Common Closing”) Foxconn will purchase 26,855,453 additional shares of Common Stock at a purchase price of $1.76 per share.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satisfaction of certain EV Program milestones (including establishing an EV Program budget) and subject to satisfaction of other customary conditions set forth in the Investment Agreement, Foxconn will purchase in two tranches up to 700,000 additional shares of Preferred Stock at a purchase price of $100 per share. The first tranche will be in an amount up to 300,000 shares for an aggregate purchase price of $30 million; and the second tranche will be in an amount up to 400,000 shares for an aggregate purchase price of $40 million. The parties have agreed to use commercially reasonable efforts to agree upon the EV Program budget and funding milestones no later than May 7,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Agreement provides that:</w:t>
      </w:r>
    </w:p>
    <w:p>
      <w:pPr>
        <w:spacing w:after="0" w:line="223" w:lineRule="exact"/>
        <w:rPr>
          <w:sz w:val="20"/>
          <w:szCs w:val="20"/>
          <w:color w:val="auto"/>
        </w:rPr>
      </w:pPr>
    </w:p>
    <w:p>
      <w:pPr>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Representation</w:t>
      </w:r>
      <w:r>
        <w:rPr>
          <w:rFonts w:ascii="Times New Roman" w:cs="Times New Roman" w:eastAsia="Times New Roman" w:hAnsi="Times New Roman"/>
          <w:sz w:val="18"/>
          <w:szCs w:val="18"/>
          <w:color w:val="auto"/>
        </w:rPr>
        <w:t>: Foxconn will have the right to appoint two designees to the Board after receiving CFIUS Clearance and consummation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Subsequent Common Closing. Foxconn will relinquish one Board seat if it does not continue to beneficially own shares of Common Stock. Preferred Stock and shares of Common Stock issued upon conversion of shares of Preferred Stock that represent (on an as-converted basis) at least 50% of the number of shares of Common Stock (on an as-converted basis) acquired by Foxconn in connection with the Investment Transactions and will relinquish its other Board seat if it does not continue to beneficially own at least 25% of the number of shares of Common Stock in connection with the Investment Transactions (on an as-converted basis) acquired by Foxconn (the “25% Ownership Requirement”).</w:t>
      </w:r>
    </w:p>
    <w:p>
      <w:pPr>
        <w:spacing w:after="0" w:line="1" w:lineRule="exact"/>
        <w:rPr>
          <w:rFonts w:ascii="Times New Roman" w:cs="Times New Roman" w:eastAsia="Times New Roman" w:hAnsi="Times New Roman"/>
          <w:sz w:val="18"/>
          <w:szCs w:val="18"/>
          <w:color w:val="auto"/>
        </w:rPr>
      </w:pPr>
    </w:p>
    <w:p>
      <w:pPr>
        <w:ind w:left="660" w:right="60" w:hanging="328"/>
        <w:spacing w:after="0" w:line="25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Existing JV Agreement</w:t>
      </w:r>
      <w:r>
        <w:rPr>
          <w:rFonts w:ascii="Times New Roman" w:cs="Times New Roman" w:eastAsia="Times New Roman" w:hAnsi="Times New Roman"/>
          <w:sz w:val="18"/>
          <w:szCs w:val="18"/>
          <w:color w:val="auto"/>
        </w:rPr>
        <w:t>: The Company and Foxconn will cause (i) the existing joint venture agreement between Lordstown EV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Foxconn EV Technology, Inc. to be amended to terminate all obligations of Lordstown EV Corporation and Foxconn EV Technology, Inc. thereunder, (ii) the Note, Guaranty and Security Agreement, dated June 24, 2022, issued by Lordstown EV Corporation and guaranteed by the Company and Lordstown EV Sales LLC to be terminated, and (iii) all liens on assets of Lordstown EV Corporation and the Company to be released. In addition, Foxconn will pay Lordstown EV Corporation approximately $0.4 million for services and reimburse Lordstown EV Corporation approximately $0.1 million for expenses. All remaining funds held by the joint venture will be distributed to Foxconn EV Technology, Inc. as a distribution for amounts contributed by it and as a repayment in full of any loans advanced by it to Lordstown EV Corporation under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66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Standstill</w:t>
      </w:r>
      <w:r>
        <w:rPr>
          <w:rFonts w:ascii="Times New Roman" w:cs="Times New Roman" w:eastAsia="Times New Roman" w:hAnsi="Times New Roman"/>
          <w:sz w:val="18"/>
          <w:szCs w:val="18"/>
          <w:color w:val="auto"/>
        </w:rPr>
        <w:t>: Until the date that is the later of December 31, 2024 and 90 days after the first day on which no Foxconn-appointed director serves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and Foxconn no longer has a right to appoint any directors, without the approval of the Board, Foxconn will not (i) acquire any equity securities of the Company if after the acquisition Foxconn and its affiliates would own (A) prior to the Subsequent Common Closing, 9.99% of the capital stock of the Company that is entitled to vote generally in any election of directors of the Company (“Voting Power”), (B) prior to the time the Company obtains the approval of stockholders contemplated by Rule 5635 of the Nasdaq listing rules as in effect on November 7, 2022 with respect to certain equity issuances (the “Requisite Stockholder Approval”), 19.99% of the Voting Power and (C) at all times following the Subsequent Common Closing and the Requisite Stockholder Approval, 24% of the Voting Power (collectively, the “Ownership Limitations”), or</w:t>
      </w:r>
    </w:p>
    <w:p>
      <w:pPr>
        <w:spacing w:after="0" w:line="4" w:lineRule="exact"/>
        <w:rPr>
          <w:rFonts w:ascii="Times New Roman" w:cs="Times New Roman" w:eastAsia="Times New Roman" w:hAnsi="Times New Roman"/>
          <w:sz w:val="18"/>
          <w:szCs w:val="18"/>
          <w:color w:val="auto"/>
        </w:rPr>
      </w:pPr>
    </w:p>
    <w:p>
      <w:pPr>
        <w:ind w:left="660" w:right="180" w:hanging="4"/>
        <w:spacing w:after="0" w:line="250" w:lineRule="auto"/>
        <w:tabs>
          <w:tab w:leader="none" w:pos="92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Exclusivity</w:t>
      </w:r>
      <w:r>
        <w:rPr>
          <w:rFonts w:ascii="Times New Roman" w:cs="Times New Roman" w:eastAsia="Times New Roman" w:hAnsi="Times New Roman"/>
          <w:sz w:val="18"/>
          <w:szCs w:val="18"/>
          <w:color w:val="auto"/>
        </w:rPr>
        <w:t>: Prior to the Subsequent Common Closing, (i) without Foxconn’s consent, the Company will not (A) encourage, solicit, initiate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will inform Foxconn of any Acquisition Proposal that it receives.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 representing 30% or more of the consolidated assets of the Company, or (v) combination of the foregoing. The Company has also agreed that, while the Preferred Stock is outstanding, it will not put in place a poison pill that applies to Preferred Stock held by Foxconn or to Common Stock that Foxconn acquires from the Company.</w:t>
      </w:r>
    </w:p>
    <w:p>
      <w:pPr>
        <w:spacing w:after="0" w:line="4"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Agreement and Consent Rights</w:t>
      </w:r>
      <w:r>
        <w:rPr>
          <w:rFonts w:ascii="Times New Roman" w:cs="Times New Roman" w:eastAsia="Times New Roman" w:hAnsi="Times New Roman"/>
          <w:sz w:val="18"/>
          <w:szCs w:val="18"/>
          <w:color w:val="auto"/>
        </w:rPr>
        <w:t>: The terms of the Investment Agreement and Certificate of Designations (as defined below)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the later of (i) December 31, 2024 and (ii) 90 days after the first day on which no Foxconn-appointed director serves on the Board and Foxconn no longer has a right to appoint any directors, Foxconn has agreed to vote all of its shares of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cannot (i) amend any provision of the Charter or By-Laws in a manner that would adversely affect the Preferred Stock or increase or decrease the number of shares of Preferred Stock,</w:t>
      </w:r>
    </w:p>
    <w:p>
      <w:pPr>
        <w:spacing w:after="0" w:line="3" w:lineRule="exact"/>
        <w:rPr>
          <w:rFonts w:ascii="Times New Roman" w:cs="Times New Roman" w:eastAsia="Times New Roman" w:hAnsi="Times New Roman"/>
          <w:sz w:val="18"/>
          <w:szCs w:val="18"/>
          <w:color w:val="auto"/>
        </w:rPr>
      </w:pPr>
    </w:p>
    <w:p>
      <w:pPr>
        <w:ind w:left="660" w:right="60" w:hanging="4"/>
        <w:spacing w:after="0" w:line="250" w:lineRule="auto"/>
        <w:tabs>
          <w:tab w:leader="none" w:pos="92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w:t>
      </w:r>
    </w:p>
    <w:p>
      <w:pPr>
        <w:spacing w:after="0" w:line="1"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Participation Rights</w:t>
      </w:r>
      <w:r>
        <w:rPr>
          <w:rFonts w:ascii="Times New Roman" w:cs="Times New Roman" w:eastAsia="Times New Roman" w:hAnsi="Times New Roman"/>
          <w:sz w:val="18"/>
          <w:szCs w:val="18"/>
          <w:color w:val="auto"/>
        </w:rPr>
        <w:t>: Following the Subsequent Common Closing and until Foxconn no longer has the right to appoint a director to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with respect to certain excluded issuances, Foxconn has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Investment Agreement contains customary representations, warranties and closing conditions. The Investment Agreement can be terminated by either party if the Initial Closing has not occurred on or before November 7, 2023 and also can be terminated by mutual consent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Certificate of Designations of Preferred Stock</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Prior to the Initial Closing, the Company will file with the Secretary of the State of Delaware a Certificate of Designation, Preferences and Rights of the Series A Convertible Preferred Stock (the “Certificate of Designations”) designating 1,000,000 shares as Series A Convertible Preferred Stock and designating the rights, preferences and limitations of such shares.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Preferred Stock will, with respect to dividend rights, rights on the distribution of assets on any liquidation, dissolution or winding up of the affairs of the Company and redemption rights, rank: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affairs of the Company, the holders of Preferred Stock will be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Common Stock immediately prior to the date of such event.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Holders of the Preferred Stock will be entitled to receive dividends at a rate equal to 8% per annum, which accrue and accumulate whether or not declared. Such dividends compound quarterly and are payable quarterly in arrears. In addition, the holders of the Preferred Stock participate with any dividends payable in respect of any Junior Stock or Parity Stock.</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All holders of shares of Preferred Stock will be entitled to vote with the holders of Common Stock on all matters submitted to a vote of stockholders of the Company as a single class with each share of Preferred Stock entitled to a number of votes equal to the number of shares of Common Stock into which such share could be converted; provided, that no holder of shares of Preferred Stock will be entitled to vote (i) until the expiration or termination of any applicable waiting period under the Hart-Scott-Rodino Antitrust Improvements Act of 1976, as amended, if applicable, or (ii) to the extent that such holder would have the right to a number of votes in respect of such holder’s shares of Common Stock, Preferred Stock or other capital stock that would exceed the limitations set forth in clauses (A) and (B) of the definition of Ownership Limitations.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Certificate of Designation, commencing on the later of (1) May 7, 2023, and (2) the earlier of (x) the date of the Subsequent Common Closing and (y) November 7, 2023 (the “Conversion Right Date”), the Preferred Stock is convertible at the option of the holder into shares of Common Stock at a conversion price of $1.936 (the “Conversion Price”), subject to customary adjustments. At any time following the third anniversary of the date of issuance, the Company can cause the Preferred Stock to be converted if the volume-weighted average price of the Common Stock exceeds 200% of the Conversion Price for a period of at least twenty trading days in any period of thirty consecutive trading days. Foxconn’s ability to convert is limited by clauses (A) and (B) of the definition of the Ownership Limitations. 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Foxconn will enter into a Registration Rights Agreement (the “Registration Rights Agreement”) as a condition to the Initial Closing pursuant to which the Company will agree to use reasonable efforts to file and cause to be declared effective a registration statement with the Securities and Exchange Commission (“SEC”) registering the resale of the Securities, including any shares of Common Stock issuable upon conversion of the Preferred Stock, by the earlier to occur of (i) the Subsequent Common Closing, (ii) a determination that CFIUS Clearance will not occur and (iii) May 7, 2023. Foxconn also has customary demand and piggyback registration rights with respect to the Securities, and indemnification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The foregoing description does not purport to be complete and is subject to, and qualified in its entirety by, the full text of the Certificate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Designations, Investment Agreement and the form of Registration Rights Agreement, copies of which are attached as Exhibits 3.1, 10.1 and 10.2 hereto and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the Company issued regarding the Investment Transactions is attached hereto as Exhibit 99.1.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The information included in Item 1.01 above is incorporated by reference into this Item 3.02. The Securities will be issued to accredited investor(s) in reliance upon the exemption from the registration requirements of the Securities Act of 1933 afforded by Section 4(a)(2) of the Securities Act of 1933.</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above is incorporated by reference into this Item 3.03.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above is incorporated by reference into this Item 5.03.</w:t>
      </w:r>
    </w:p>
    <w:p>
      <w:pPr>
        <w:spacing w:after="0" w:line="221" w:lineRule="exact"/>
        <w:rPr>
          <w:sz w:val="20"/>
          <w:szCs w:val="20"/>
          <w:color w:val="auto"/>
        </w:rPr>
      </w:pPr>
    </w:p>
    <w:p>
      <w:pPr>
        <w:ind w:left="2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0"/>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1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Form of Certificate of Designation, Preferences and Rights of Series A Convertible Preferred Stock</w:t>
            </w:r>
          </w:p>
        </w:tc>
        <w:tc>
          <w:tcPr>
            <w:tcW w:w="3260" w:type="dxa"/>
            <w:vAlign w:val="bottom"/>
            <w:gridSpan w:val="3"/>
          </w:tcPr>
          <w:p>
            <w:pPr>
              <w:spacing w:after="0"/>
              <w:rPr>
                <w:sz w:val="16"/>
                <w:szCs w:val="16"/>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00" w:type="dxa"/>
            <w:vAlign w:val="bottom"/>
          </w:tcPr>
          <w:p>
            <w:pPr>
              <w:spacing w:after="0"/>
              <w:rPr>
                <w:sz w:val="17"/>
                <w:szCs w:val="17"/>
                <w:color w:val="auto"/>
              </w:rPr>
            </w:pPr>
          </w:p>
        </w:tc>
        <w:tc>
          <w:tcPr>
            <w:tcW w:w="10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Investment Agreement dated November 7, 2022, between Lordstown Motors Corp. and Foxconn Ventures Pte. Ltd.</w:t>
            </w:r>
          </w:p>
        </w:tc>
      </w:tr>
      <w:tr>
        <w:trPr>
          <w:trHeight w:val="196"/>
        </w:trPr>
        <w:tc>
          <w:tcPr>
            <w:tcW w:w="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500" w:type="dxa"/>
            <w:vAlign w:val="bottom"/>
          </w:tcPr>
          <w:p>
            <w:pPr>
              <w:spacing w:after="0"/>
              <w:rPr>
                <w:sz w:val="17"/>
                <w:szCs w:val="17"/>
                <w:color w:val="auto"/>
              </w:rPr>
            </w:pPr>
          </w:p>
        </w:tc>
        <w:tc>
          <w:tcPr>
            <w:tcW w:w="83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Form of Registration Rights Agreement between Lordstown Motors Corp. and Foxconn Ventures Pte. Ltd.</w:t>
            </w:r>
          </w:p>
        </w:tc>
        <w:tc>
          <w:tcPr>
            <w:tcW w:w="2120" w:type="dxa"/>
            <w:vAlign w:val="bottom"/>
          </w:tcPr>
          <w:p>
            <w:pPr>
              <w:spacing w:after="0"/>
              <w:rPr>
                <w:sz w:val="17"/>
                <w:szCs w:val="17"/>
                <w:color w:val="auto"/>
              </w:rPr>
            </w:pPr>
          </w:p>
        </w:tc>
      </w:tr>
      <w:tr>
        <w:trPr>
          <w:trHeight w:val="196"/>
        </w:trPr>
        <w:tc>
          <w:tcPr>
            <w:tcW w:w="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00" w:type="dxa"/>
            <w:vAlign w:val="bottom"/>
          </w:tcPr>
          <w:p>
            <w:pPr>
              <w:spacing w:after="0"/>
              <w:rPr>
                <w:sz w:val="17"/>
                <w:szCs w:val="17"/>
                <w:color w:val="auto"/>
              </w:rPr>
            </w:pPr>
          </w:p>
        </w:tc>
        <w:tc>
          <w:tcPr>
            <w:tcW w:w="7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7, 2022</w:t>
            </w:r>
          </w:p>
        </w:tc>
        <w:tc>
          <w:tcPr>
            <w:tcW w:w="2760" w:type="dxa"/>
            <w:vAlign w:val="bottom"/>
            <w:gridSpan w:val="2"/>
          </w:tcPr>
          <w:p>
            <w:pPr>
              <w:spacing w:after="0"/>
              <w:rPr>
                <w:sz w:val="17"/>
                <w:szCs w:val="17"/>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0"/>
                <w:szCs w:val="20"/>
                <w:color w:val="auto"/>
              </w:rPr>
            </w:pPr>
          </w:p>
        </w:tc>
        <w:tc>
          <w:tcPr>
            <w:tcW w:w="10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59"/>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Kroll</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rPr>
          <w:sz w:val="20"/>
          <w:szCs w:val="20"/>
          <w:color w:val="auto"/>
        </w:rPr>
      </w:pPr>
      <w:r>
        <w:rPr>
          <w:rFonts w:ascii="Times New Roman" w:cs="Times New Roman" w:eastAsia="Times New Roman" w:hAnsi="Times New Roman"/>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DESIGNATION, PREFERENCES AND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CONVERTIBLE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151 of the Delaware General Corporation Law (as amended, supplemented or restated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Lordstown Motors Corp., a corporation organized and existing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the provisions of Section 103 of the DGCL, DOES HEREBY CERTIFY:</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That, the Certificate of Amendment of Second Amended and Restated Certificate of Incorporation of the Company, as filed with the Secretary of State of the State of Delaware (the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authorizes the issuance of 462,000,000 shares of capital stock, consisting of 450,000,000 shares of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12,000,000 shares of undesignated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300" w:firstLine="648"/>
        <w:spacing w:after="0" w:line="258" w:lineRule="auto"/>
        <w:rPr>
          <w:sz w:val="20"/>
          <w:szCs w:val="20"/>
          <w:color w:val="auto"/>
        </w:rPr>
      </w:pPr>
      <w:r>
        <w:rPr>
          <w:rFonts w:ascii="Times New Roman" w:cs="Times New Roman" w:eastAsia="Times New Roman" w:hAnsi="Times New Roman"/>
          <w:sz w:val="18"/>
          <w:szCs w:val="18"/>
          <w:color w:val="auto"/>
        </w:rPr>
        <w:t>That, subject to the provisions of the Second Amended and Restated Certificate of Incorporation of the Company, as filed with the Secretary of State of the State of Delaware (as amended by the Certificate of Amendment,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authorized to fix by resolution or resolutions the designations and the powers, including voting powers, if any, preferences and relative, participating, optional or other special rights, if any, and qualifications, limitations or restrictions thereof, of any series of Preferred Stock, and to fix the number of shares constituting any such series.</w:t>
      </w:r>
    </w:p>
    <w:p>
      <w:pPr>
        <w:spacing w:after="0" w:line="183"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That, pursuant to the authority conferred upon the Board by the Certificate of Incorporation, the Board, on November 4, 2022, adopted the following resolution designating a new series of Preferred Stock as “Series A Convertible Preferred Stock”:</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in accordance with the provisions of Article IV of the Certificate of Incorporation and the provisions of Section 151 of the DGCL, a series of Preferred Stock of the Company is hereby authorized, and the number of shares to be included in such series, and voting powers, designations, preferences and relative, participating, optional or other special rights, and the qualifications, limitations and restrictions of the shares of Preferred Stock included in such series,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 shares of such series of Preferred Stock shall be designated as “Series A Convertible Preferred Stock”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The number of authorized shares constituting the Series A Preferred Stock shall be 1,000,000. That number from time to time may be increased or decreased (but not below the number of shares of Series A Preferred Stock then outstanding and subject to Section 12(b)(iii))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A Preferred Stock.</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will rank, with respect to dividend rights and rights on the distribution of assets on any voluntary or involuntary liquidation, dissolution or winding up of the affairs of the Company:</w:t>
      </w:r>
    </w:p>
    <w:p>
      <w:pPr>
        <w:spacing w:after="0" w:line="162" w:lineRule="exact"/>
        <w:rPr>
          <w:sz w:val="20"/>
          <w:szCs w:val="20"/>
          <w:color w:val="auto"/>
        </w:rPr>
      </w:pPr>
    </w:p>
    <w:p>
      <w:pPr>
        <w:ind w:firstLine="656"/>
        <w:spacing w:after="0" w:line="261" w:lineRule="auto"/>
        <w:tabs>
          <w:tab w:leader="none" w:pos="13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basis with each other class or series of Capital Stock of the Company now existing or hereafter authorized, classified or reclassified, the terms of which expressly provide that such class or series ranks on a parity basis with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80" w:firstLine="656"/>
        <w:spacing w:after="0" w:line="266" w:lineRule="auto"/>
        <w:tabs>
          <w:tab w:leader="none" w:pos="13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each other class or series of Capital Stock of the Company now existing or hereafter authorized, classified or reclassified, the terms of which expressly provide that such class or series ranks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right="260" w:firstLine="656"/>
        <w:spacing w:after="0" w:line="261" w:lineRule="auto"/>
        <w:tabs>
          <w:tab w:leader="none" w:pos="13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the Common Stock and each other class or series of Capital Stock of the Company now existing or hereafter authorized, classified or reclassified, the terms of which do not expressly provide that such class or series ranks on a parity basis with or senior to the Series A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herein with respect to Series A Preferred Stock:</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Dividends</w:t>
      </w:r>
      <w:r>
        <w:rPr>
          <w:rFonts w:ascii="Times New Roman" w:cs="Times New Roman" w:eastAsia="Times New Roman" w:hAnsi="Times New Roman"/>
          <w:sz w:val="18"/>
          <w:szCs w:val="18"/>
          <w:color w:val="auto"/>
        </w:rPr>
        <w:t xml:space="preserve">” means, as of any date, with respect to any share of Series A Preferred Stock, all dividends that have accrued on such share pursuant to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whether or not declared, but that have not, as of such date, been paid.</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deemed to be Affiliates of the Investor or any of its Affiliates. For this purpose,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Amount</w:t>
      </w:r>
      <w:r>
        <w:rPr>
          <w:rFonts w:ascii="Times New Roman" w:cs="Times New Roman" w:eastAsia="Times New Roman" w:hAnsi="Times New Roman"/>
          <w:sz w:val="18"/>
          <w:szCs w:val="18"/>
          <w:color w:val="auto"/>
        </w:rPr>
        <w:t>” means, with respect to any share of Series A Preferred Stock, as of any date of determination, the sum of (a) the Liquidation Preference and (b) the Base Amount Accrued Dividends with respect to such share as of such date.</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Amount Accrued Dividends</w:t>
      </w:r>
      <w:r>
        <w:rPr>
          <w:rFonts w:ascii="Times New Roman" w:cs="Times New Roman" w:eastAsia="Times New Roman" w:hAnsi="Times New Roman"/>
          <w:sz w:val="18"/>
          <w:szCs w:val="18"/>
          <w:color w:val="auto"/>
        </w:rPr>
        <w:t>” means, with respect to any share of Series A Preferred Stock, as of any date of determination, (a) if a Preferred Dividend Payment Date has occurred since the issuance of such share, the Accrued Dividends with respect to such share as of the Preferred Dividend Payment Date immediately preceding such date of determination (taking into account the payment of Dividends, if any, on such Preferred Dividend Payment Date) or (b) if no Preferred Dividend Payment Date has occurred since the issuance of such share, zero.</w:t>
      </w:r>
    </w:p>
    <w:p>
      <w:pPr>
        <w:spacing w:after="0" w:line="180" w:lineRule="exact"/>
        <w:rPr>
          <w:sz w:val="20"/>
          <w:szCs w:val="20"/>
          <w:color w:val="auto"/>
        </w:rPr>
      </w:pPr>
    </w:p>
    <w:p>
      <w:pPr>
        <w:ind w:right="460" w:firstLine="1296"/>
        <w:spacing w:after="0" w:line="258" w:lineRule="auto"/>
        <w:rPr>
          <w:sz w:val="20"/>
          <w:szCs w:val="20"/>
          <w:color w:val="auto"/>
        </w:rPr>
      </w:pPr>
      <w:r>
        <w:rPr>
          <w:rFonts w:ascii="Times New Roman" w:cs="Times New Roman" w:eastAsia="Times New Roman" w:hAnsi="Times New Roman"/>
          <w:sz w:val="18"/>
          <w:szCs w:val="18"/>
          <w:color w:val="auto"/>
        </w:rPr>
        <w:t>Any Person shall be deemed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of, or to be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xml:space="preserve">” by such Person) that such Person together with such Person’s Affiliates is deemed to “beneficially own” within the meaning of Rules 13d-3 and 13d-5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shall be deemed to beneficially own any securities that such Person has the right to acquire, whether or not such right is exercisable within sixty (60) days or thereafter (including assuming conversion of all Series A Preferred Stock, if any, owned by such Person into Common Stock).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weekday that is not a day on which banking institutions in New York, New York are authorized or required by law, regulation or executive order to be closed.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Amended and Restated By-Laws of the Company, as may be amended from time to time.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means this Certificate of Designation, Preferences and Rights, as may be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directly or indirectly, of one of the following, whether in a single transaction or a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firstLine="1304"/>
        <w:spacing w:after="0" w:line="253" w:lineRule="auto"/>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(i) any of the Investor Parties (or any “group” that includes any of the Investor Parties), and (ii) the Company, its wholly-owned Subsidiaries and the employee benefit plans of the Company and its wholly-owned Subsidiaries, who files a Schedule TO or any schedule, form or report under the Exchange Act disclosing or with respect to whom it otherwise becomes known (through public disclosure or otherwise) to the Company that such person or group has become the “beneficial owner” (as defined in Rules 13d-3 and 13d-5 under the Exchange Act), directly or indirectly, of a majority of the total voting power of the Voting Stock of the Company, other than as a result of any such transaction in which (i) the holders of securities that represented 100% of the Voting Stock of the Company immediately prior to such transaction are substantially the same as the holders of securities that represent a majority of the Voting Stock of the surviving Person or its parent entity immediately following such transaction and (ii)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80" w:firstLine="1304"/>
        <w:spacing w:after="0" w:line="253" w:lineRule="auto"/>
        <w:tabs>
          <w:tab w:leader="none" w:pos="19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the Company with or into another Person (other than any of the Investor Parties (or any “group” that includes any of the Investor Parties)) or the merger of another Person (other than any of the Investor Parties (or any “group” that includes any of the Investor Parties)) with or into the Company, or the sale, transfer or lease of all or substantially all of the assets of the Company (determined on a consolidated basis), whether in a single transaction or a series of related transactions, to another Person (other than any of the Investor Parties (or any “group” that includes any of the Investor Parties)), or any recapitalization, reclassification or other transaction in which all or substantially all of the Common Stock is exchanged for or converted into cash, securities or other property, other than a transaction following which (i) in the case of a merger or consolidation transaction,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and (ii) in the case of a sale, transfer or lease of all or substantially all of the assets of the Company, other than to a Subsidiary or a Person that becomes a Subsidiary of the Company.</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Date</w:t>
      </w:r>
      <w:r>
        <w:rPr>
          <w:rFonts w:ascii="Times New Roman" w:cs="Times New Roman" w:eastAsia="Times New Roman" w:hAnsi="Times New Roman"/>
          <w:sz w:val="18"/>
          <w:szCs w:val="18"/>
          <w:color w:val="auto"/>
        </w:rPr>
        <w:t xml:space="preserve">” means, with respect to each share of Series A Preferred Stock, (i) in the case of a conversion pursuant to </w:t>
      </w:r>
      <w:r>
        <w:rPr>
          <w:rFonts w:ascii="Times New Roman" w:cs="Times New Roman" w:eastAsia="Times New Roman" w:hAnsi="Times New Roman"/>
          <w:sz w:val="18"/>
          <w:szCs w:val="18"/>
          <w:u w:val="single" w:color="auto"/>
          <w:color w:val="auto"/>
        </w:rPr>
        <w:t>Section 9(a)(i)</w:t>
      </w:r>
      <w:r>
        <w:rPr>
          <w:rFonts w:ascii="Times New Roman" w:cs="Times New Roman" w:eastAsia="Times New Roman" w:hAnsi="Times New Roman"/>
          <w:sz w:val="18"/>
          <w:szCs w:val="18"/>
          <w:color w:val="auto"/>
        </w:rPr>
        <w:t>, the date on which the Company issues the shares of Common Stock upon conversion of such share and (ii) in the case of a Change of Control Put, the date on which the Company makes the payment in full of the Change of Control Purchase Price for such share to the Holder thereof or to the Transfer Agent, irrevocably, for the benefit of such Holder.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means 5:00 p.m.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Common Stock on any date of determination means the closing sale price or, if no closing sale price is reported, the last reported sale price of the shares of the Common Stock on the NASDAQ on such date. If the Common Stock is not traded on the NASDAQ on any date of determination, the Closing Price of the Common Stock on such date of determination means the closing sale price as reported in the composite transactions for the principal United States securities exchange or automated quotation system on which the Common Stock is so listed or quoted, or, if no closing sale price is reported, the last reported sale price on the principal United States securities exchange or automated quotation system on which the Common Stock is so listed or quoted, or if the Common Stock is not so listed or quoted on a United States securities exchange or automated quotation system, the last quoted bid price for the Common Stock in the over-the-counter market as reported by OTC Markets Group Inc. or any similar organization, or, if that bid price is not available, the market price of the Common Stock on that date as determined by an Independent Financial Advisor retained by the Company for such purpose.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has the meaning set forth above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means, for each share of Series A Preferred Stock, a dollar amount equal to $100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Conversion Rate.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means, for each share of Series A Preferred Stock, 51.6529 shares of Common Stock, subject to adjustment as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herein.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xml:space="preserve">” has the meaning set forth in Section </w:t>
      </w:r>
      <w:r>
        <w:rPr>
          <w:rFonts w:ascii="Times New Roman" w:cs="Times New Roman" w:eastAsia="Times New Roman" w:hAnsi="Times New Roman"/>
          <w:sz w:val="18"/>
          <w:szCs w:val="18"/>
          <w:u w:val="single" w:color="auto"/>
          <w:color w:val="auto"/>
        </w:rPr>
        <w:t>10(a)(iii)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xml:space="preserve">” per share of Common Stock, as of any date of determination, means the arithmetic average of the VWAP per share of Common Stock for each of the ten (10) consecutive full Trading Days ending on, and including, the Trading Day immediately preceding such day, appropriately adjusted to take into account the occurrence during such period of any event described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 above.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10(a)(iv)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Transaction</w:t>
      </w:r>
      <w:r>
        <w:rPr>
          <w:rFonts w:ascii="Times New Roman" w:cs="Times New Roman" w:eastAsia="Times New Roman" w:hAnsi="Times New Roman"/>
          <w:sz w:val="18"/>
          <w:szCs w:val="18"/>
          <w:color w:val="auto"/>
        </w:rPr>
        <w:t>” means any dividend or other distribution of equity securities of a Subsidiary of the Company to holders of Common Stock in which such Person ceases to be a Subsidiary of the Company by reason of such dividend or distribution of equity securities, whether by means of a spin-off, split-off, redemption, reclassification, exchange, stock dividend, share distribution, rights offering or similar transaction.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means 8%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reasonably determined by a majority of the Board acting in good faith, (a) after consultation with an Independent Financial Advisor, as to any security or other property with a Fair Market Value of more than $20,000,000 but less than $50,000,000, or (b) as to any security or other property with a Fair Market Value of $50,000,000 or more, using an Independent Financial Advisor to provide a valuation opinion.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any Series A Preferred Stock is registered in the Register.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Implied Quarterly Dividend Amount</w:t>
      </w:r>
      <w:r>
        <w:rPr>
          <w:rFonts w:ascii="Times New Roman" w:cs="Times New Roman" w:eastAsia="Times New Roman" w:hAnsi="Times New Roman"/>
          <w:sz w:val="18"/>
          <w:szCs w:val="18"/>
          <w:color w:val="auto"/>
        </w:rPr>
        <w:t xml:space="preserve">” means, with respect to any share of Series A Preferred Stock, as of any date, the product of (a) the Base Amount of such share on the first day of the applicable Preferred Dividend Payment Period (or in the case of the first Preferred Dividend Payment Period for such share, as of the Issuance Date of such share)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one-fourth of the Dividend Rate applicable on such date.</w:t>
      </w:r>
    </w:p>
    <w:p>
      <w:pPr>
        <w:spacing w:after="0" w:line="176"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 all obligations of the Company or any of its Subsidiaries for borrowed money or with respect to deposits or advances of any kind; (b) all obligations of the Company or any of its Subsidiaries evidenced by bonds, debentures, notes or similar instruments; (c) all letters of credit and letters of guaranty in respect of which the Company or any of its Subsidiaries is an account party; (d) all securitization or similar facilities of the Company or any of its Subsidiaries; and (e) all guarantees by the Company or any of its Subsidiaries of any of the foregoing.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 Agreement</w:t>
      </w:r>
      <w:r>
        <w:rPr>
          <w:rFonts w:ascii="Times New Roman" w:cs="Times New Roman" w:eastAsia="Times New Roman" w:hAnsi="Times New Roman"/>
          <w:sz w:val="18"/>
          <w:szCs w:val="18"/>
          <w:color w:val="auto"/>
        </w:rPr>
        <w:t>” means any agreement, document or instrument governing or evidencing any Indebtedness of the Company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w:t>
      </w:r>
    </w:p>
    <w:p>
      <w:pPr>
        <w:spacing w:after="0" w:line="207"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xml:space="preserve">” means an accounting, appraisal, investment banking firm or consultant of nationally recognized 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firm or consultant shall not be an Affiliate of the Company and shall be reasonably acceptable to the Holders of at least a majority of the shares of Series A Preferred Stock outstanding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Change of Control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Dividend Payment Date</w:t>
      </w:r>
      <w:r>
        <w:rPr>
          <w:rFonts w:ascii="Times New Roman" w:cs="Times New Roman" w:eastAsia="Times New Roman" w:hAnsi="Times New Roman"/>
          <w:sz w:val="18"/>
          <w:szCs w:val="18"/>
          <w:color w:val="auto"/>
        </w:rPr>
        <w:t>” has the meaning set forth in the definition of “Preferred Dividend Payment Date.”</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means that certain Investment Agreement between the Company and the Investor dated as of November 7, 2022, as it may be amended, supplemented or otherwise modified from time to time, with respect to certain terms and conditions concerning, among other things, the rights of and restrictions on the Holders.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has the meaning set forth in the Investment Agreement.</w:t>
      </w:r>
    </w:p>
    <w:p>
      <w:pPr>
        <w:spacing w:after="0" w:line="225" w:lineRule="exact"/>
        <w:rPr>
          <w:sz w:val="20"/>
          <w:szCs w:val="20"/>
          <w:color w:val="auto"/>
        </w:rPr>
      </w:pPr>
    </w:p>
    <w:p>
      <w:pPr>
        <w:ind w:right="6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Designee</w:t>
      </w:r>
      <w:r>
        <w:rPr>
          <w:rFonts w:ascii="Times New Roman" w:cs="Times New Roman" w:eastAsia="Times New Roman" w:hAnsi="Times New Roman"/>
          <w:sz w:val="18"/>
          <w:szCs w:val="18"/>
          <w:color w:val="auto"/>
        </w:rPr>
        <w:t>” means an individual nominated by the Board as a “Investor Designee” for election to the Board pursuant to Section 5.09(a), Section 5.09(c) or Section 5.09(d) of the Investment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means Investor and its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with respect to any share of Series A Preferred Stock, the date of issuance of such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any share of Series A Preferred Stock, as of any date, $100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Price</w:t>
      </w:r>
      <w:r>
        <w:rPr>
          <w:rFonts w:ascii="Times New Roman" w:cs="Times New Roman" w:eastAsia="Times New Roman" w:hAnsi="Times New Roman"/>
          <w:sz w:val="18"/>
          <w:szCs w:val="18"/>
          <w:color w:val="auto"/>
        </w:rPr>
        <w:t>” means 200% of the Conversion Price, as adjusted pursuant to the provisions of Section 11(a). The Mandatory Conversion Price shall initially be $3.88.</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means any of the following events:</w:t>
      </w:r>
    </w:p>
    <w:p>
      <w:pPr>
        <w:spacing w:after="0" w:line="225" w:lineRule="exact"/>
        <w:rPr>
          <w:sz w:val="20"/>
          <w:szCs w:val="20"/>
          <w:color w:val="auto"/>
        </w:rPr>
      </w:pPr>
    </w:p>
    <w:p>
      <w:pPr>
        <w:ind w:firstLine="1304"/>
        <w:spacing w:after="0" w:line="256" w:lineRule="auto"/>
        <w:tabs>
          <w:tab w:leader="none" w:pos="1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limitation imposed on, trading of the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and whether by reason of movements in price exceeding limits permitted by the Relevant Exchange as to securities generally, or otherwise relating to the Common Stock or options contracts relating to the Common Stock on the Relevant Exchange;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ind w:right="40" w:firstLine="1304"/>
        <w:spacing w:after="0" w:line="258" w:lineRule="auto"/>
        <w:tabs>
          <w:tab w:leader="none" w:pos="19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in general to effect transactions in, or obtain market values for, the Common Stock on the Relevant Exchange or to effect transactions in, or obtain market values for, options contracts relating to the Common Stock on the Relevant Exchange.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 (or its successor).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Issuance Date</w:t>
      </w:r>
      <w:r>
        <w:rPr>
          <w:rFonts w:ascii="Times New Roman" w:cs="Times New Roman" w:eastAsia="Times New Roman" w:hAnsi="Times New Roman"/>
          <w:sz w:val="18"/>
          <w:szCs w:val="18"/>
          <w:color w:val="auto"/>
        </w:rPr>
        <w:t>” means the Initial Closing Date, as defined in the Investment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estate, partnership, joint venture, association, joint-stock company, limited liability company, trust, unincorporated organization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Dividend Payment Date</w:t>
      </w:r>
      <w:r>
        <w:rPr>
          <w:rFonts w:ascii="Times New Roman" w:cs="Times New Roman" w:eastAsia="Times New Roman" w:hAnsi="Times New Roman"/>
          <w:sz w:val="18"/>
          <w:szCs w:val="18"/>
          <w:color w:val="auto"/>
        </w:rPr>
        <w:t>” means March 31, June 30, September 30 and December 31 of each year (each, a “</w:t>
      </w:r>
      <w:r>
        <w:rPr>
          <w:rFonts w:ascii="Times New Roman" w:cs="Times New Roman" w:eastAsia="Times New Roman" w:hAnsi="Times New Roman"/>
          <w:sz w:val="18"/>
          <w:szCs w:val="18"/>
          <w:u w:val="single" w:color="auto"/>
          <w:color w:val="auto"/>
        </w:rPr>
        <w:t>Quarterly Date</w:t>
      </w:r>
      <w:r>
        <w:rPr>
          <w:rFonts w:ascii="Times New Roman" w:cs="Times New Roman" w:eastAsia="Times New Roman" w:hAnsi="Times New Roman"/>
          <w:sz w:val="18"/>
          <w:szCs w:val="18"/>
          <w:color w:val="auto"/>
        </w:rPr>
        <w:t>”), commencing on the first Quarterly Date immediately following the Original Issuance Date (the “</w:t>
      </w:r>
      <w:r>
        <w:rPr>
          <w:rFonts w:ascii="Times New Roman" w:cs="Times New Roman" w:eastAsia="Times New Roman" w:hAnsi="Times New Roman"/>
          <w:sz w:val="18"/>
          <w:szCs w:val="18"/>
          <w:u w:val="single" w:color="auto"/>
          <w:color w:val="auto"/>
        </w:rPr>
        <w:t>Initial Dividend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such Quarterly Date is not a Business Day, then the applicable Dividend shall be payable on the next Business Day immediately following such Quarterly Date, without any interest.</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Dividend Payment Period</w:t>
      </w:r>
      <w:r>
        <w:rPr>
          <w:rFonts w:ascii="Times New Roman" w:cs="Times New Roman" w:eastAsia="Times New Roman" w:hAnsi="Times New Roman"/>
          <w:sz w:val="18"/>
          <w:szCs w:val="18"/>
          <w:color w:val="auto"/>
        </w:rPr>
        <w:t>” means (a) in respect of any share of Series A Preferred Stock issued on the Original Issuance Date, the period from and including the Original Issuance Date to but excluding the Initial Dividend Payment Date and, subsequent to the Initial Dividend Payment Date, the period from and including any Preferred Dividend Payment Date to but excluding the next Preferred Dividend Payment Date, and (b) for any share of Series A Preferred Stock issued subsequent to the Original Issuance Date, the period from and including the Issuance Date of such share to but excluding the next Preferred Dividend Payment Date and, subsequently, in each case the period from and including any Preferred Dividend Payment Date to but excluding the next Preferred Dividend Payment 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set forth in the recitals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Date</w:t>
      </w:r>
      <w:r>
        <w:rPr>
          <w:rFonts w:ascii="Times New Roman" w:cs="Times New Roman" w:eastAsia="Times New Roman" w:hAnsi="Times New Roman"/>
          <w:sz w:val="18"/>
          <w:szCs w:val="18"/>
          <w:color w:val="auto"/>
        </w:rPr>
        <w:t>” has the meaning set forth in the definition of “Preferred Dividend Payment Date.”</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the Common Stock have the right to receive any cash, securities or other property or in which the Common Stock is exchanged for or converted into any combination of cash, securities or other property, the date fixed for determination of holders of the Common Stock entitled to receive such cash, securities or other property (whether such date is fixed by the Board or by statute, contract or otherwise).</w:t>
      </w:r>
    </w:p>
    <w:p>
      <w:pPr>
        <w:spacing w:after="0" w:line="180"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A Preferred Stock by the Company, or, to the extent the Company has engaged a transfer agent, such transfer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Number of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means the stockholder approval contemplated by Rule 5635 of the NASDAQ listing rules (as in effect on the date this Certificate of Designations is filed with the Delaware Secretary of State) with respect to the issuance of shares of Common Stock upon conversion of the Series A Preferred Stock in excess of the limitations imposed by such rule (as in effect on the date this Certificate of Designations is filed with the Delaware Secretary of State).</w:t>
      </w:r>
    </w:p>
    <w:p>
      <w:pPr>
        <w:spacing w:after="0" w:line="18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Satisfaction of Indebtedness Obligations</w:t>
      </w:r>
      <w:r>
        <w:rPr>
          <w:rFonts w:ascii="Times New Roman" w:cs="Times New Roman" w:eastAsia="Times New Roman" w:hAnsi="Times New Roman"/>
          <w:sz w:val="18"/>
          <w:szCs w:val="18"/>
          <w:color w:val="auto"/>
        </w:rPr>
        <w:t>” means, in connection with any Change of Control, (i) the payment in full in cash of all principal, interest, fees and all other amounts due or payable in respect of any Indebtedness of the Company or any of its Subsidiaries (including in respect of any penalty or premium) that is required to be prepaid, repaid, redeemed, repurchased or otherwise retired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 (ii) the cancellation or termination, or if permitted by the terms of such Indebtedness, cash collateralization, of any letters of credit or letters of guaranty that are required to be cancelled or terminated or cash collateralized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 (iii) compliance with any requirement to effect an offer to purchase any bonds, debentures, notes or other instruments of Indebtedness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 and the purchase of any such instruments tendered in such offer and the payment in full of any other amounts due or payable in connection with such purchase and (iv) the termination of any lending commitments required to be terminated as a result of or in connection with such Change of Control or in order for the Series A Preferred Stock not to constitute or be deemed as “indebtedness”, “disqualified stock”, “disqualified capital stock”, “disqualified equity interests”, or similar instruments, however denominated, under the terms of any Indebtedness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shares of Voting Stock of the Company, with the calculation of such aggregate number of shares of Voting Stock being conclusively made for all purposes under this Certificate of Designations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limited liability company, partnership, association, trust or other entity of which securities or other ownership interests representing more than 50% of the ordinary voting power (or, in the case of a partnership, more than 50% of the general partnership interests) are owned by such Person or one or more Subsidiaries of such Person or by such Person and one or more Subsidiaries of such Person.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NASDAQ is open for the transaction of business and on which there has not occurred 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 Event.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xml:space="preserve">” shall mean the yield to maturity at the time of computation of United States Treasury securities with a constant maturity (as compiled and published in the most recent Federal Reserve Statistical Release H.15(519) which has become publicly available at least five (5) Business Days prior to the Change of Control Purchase Date (or, if such statistical release is no longer published, any publicly available source of similar market data)) most nearly equal to the Average Assumed Dividend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Average Assumed Dividend Period is not equal to the constant maturity of a United States Treasury security for which a weekly average yield is given, the Company shall obtain the Treasury Rate by linear interpolation (calculated to the nearest one-twelfth of a year) from the weekly average yields of United States Treasury securities for which such yields are given, except that if the Average Assumed Dividend Period is less than one year, the weekly average yield on actually traded United States Treasury securities adjusted to a constant maturity of one year shall be used;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Treasury Rate shall not in any event be less than zero. For purposes of this definition, “</w:t>
      </w:r>
      <w:r>
        <w:rPr>
          <w:rFonts w:ascii="Times New Roman" w:cs="Times New Roman" w:eastAsia="Times New Roman" w:hAnsi="Times New Roman"/>
          <w:sz w:val="18"/>
          <w:szCs w:val="18"/>
          <w:u w:val="single" w:color="auto"/>
          <w:color w:val="auto"/>
        </w:rPr>
        <w:t>Average Assumed Dividend Period</w:t>
      </w:r>
      <w:r>
        <w:rPr>
          <w:rFonts w:ascii="Times New Roman" w:cs="Times New Roman" w:eastAsia="Times New Roman" w:hAnsi="Times New Roman"/>
          <w:sz w:val="18"/>
          <w:szCs w:val="18"/>
          <w:color w:val="auto"/>
        </w:rPr>
        <w:t>” shall mean the average number of months (weighted based on the amount of the assumed dividends) from the Change of Control Purchase Date to the applicable Preferred Dividend Payment Date for each dividend assumed to be paid for purposes of the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Voting Stock</w:t>
      </w:r>
      <w:r>
        <w:rPr>
          <w:rFonts w:ascii="Times New Roman" w:cs="Times New Roman" w:eastAsia="Times New Roman" w:hAnsi="Times New Roman"/>
          <w:sz w:val="17"/>
          <w:szCs w:val="17"/>
          <w:color w:val="auto"/>
        </w:rPr>
        <w:t>” means (a) with respect to the Company, the Common Stock, the Series A Preferred Stock and any other Capital Stock of the Company, in each case, having the right to vote generally in any election of directors of the Board and (b) with respect to any other Person, all Capital Stock of such Person having the right to vote generally in any election of directors of the board of directors of such Person or other similar governing body.</w:t>
      </w:r>
    </w:p>
    <w:p>
      <w:pPr>
        <w:spacing w:after="0" w:line="158"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per share of Common Stock on any Trading Day means the per share volume-weighted average price as displayed under the heading Bloomberg VWAP on Bloomberg (or, if Bloomberg ceases to publish such price, any successor service reasonably chosen by the Company) page “RIDE &lt;equity&gt; AQR” (or its equivalent successor if such page is not available) in respect of the period from the open of trading on the relevant Trading Day until the close of trading on such Trading Day (or if such volume-weighted average price is unavailable, the market price of one (1) share of Common Stock on such Trading Day determined, using a volume-weighted average method, by an Independent Financial Advisor retained by the Company for such purpose).</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(a) Holders shall be entitled to receive dividends of the type and in the amount determined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56"/>
        <w:spacing w:after="0" w:line="254" w:lineRule="auto"/>
        <w:tabs>
          <w:tab w:leader="none" w:pos="13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Participating Dividends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dividends or distribution may be authorized by the Board, or any duly authorized committee thereof, and declared and paid by the Company, or any duly authorized committee thereof, on any Junior Stock and Parity Stock from time to time (a “</w:t>
      </w:r>
      <w:r>
        <w:rPr>
          <w:rFonts w:ascii="Times New Roman" w:cs="Times New Roman" w:eastAsia="Times New Roman" w:hAnsi="Times New Roman"/>
          <w:sz w:val="18"/>
          <w:szCs w:val="18"/>
          <w:u w:val="single" w:color="auto"/>
          <w:color w:val="auto"/>
        </w:rPr>
        <w:t>Common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authorization, the Board or such committee authorizes an equivalent dividend or distribution on the Series A Preferred Stock (a “</w:t>
      </w:r>
      <w:r>
        <w:rPr>
          <w:rFonts w:ascii="Times New Roman" w:cs="Times New Roman" w:eastAsia="Times New Roman" w:hAnsi="Times New Roman"/>
          <w:sz w:val="18"/>
          <w:szCs w:val="18"/>
          <w:u w:val="single" w:color="auto"/>
          <w:color w:val="auto"/>
        </w:rPr>
        <w:t>Participating Dividend</w:t>
      </w:r>
      <w:r>
        <w:rPr>
          <w:rFonts w:ascii="Times New Roman" w:cs="Times New Roman" w:eastAsia="Times New Roman" w:hAnsi="Times New Roman"/>
          <w:sz w:val="18"/>
          <w:szCs w:val="18"/>
          <w:color w:val="auto"/>
        </w:rPr>
        <w:t xml:space="preserve">”) such that (i) the Record Date and the payment date for such Participating Dividend occur on the same respective date as the Record Date and payment date for such Common Dividend and (ii) the kind and amount of consideration payable per share of Series A Preferred Stock in such Participating Dividend is the same kind and amount of consideration that would be payable in the Common Dividend in respect of a number of shares of Common Stock that would be issuable upon conversion of a share of Series A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without regard to any of the limitations on convertibility contained therein or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immediately prior to the Record Date for such Common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left="-8" w:right="120" w:firstLine="656"/>
        <w:spacing w:after="0" w:line="253" w:lineRule="auto"/>
        <w:tabs>
          <w:tab w:leader="none" w:pos="137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Dividends</w:t>
      </w:r>
      <w:r>
        <w:rPr>
          <w:rFonts w:ascii="Times New Roman" w:cs="Times New Roman" w:eastAsia="Times New Roman" w:hAnsi="Times New Roman"/>
          <w:sz w:val="18"/>
          <w:szCs w:val="18"/>
          <w:color w:val="auto"/>
        </w:rPr>
        <w:t>. In addition to the Participating Dividends, dividends on each share of Series A Preferred Stock (the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(i) shall accrue and accumulate on a daily basis from and including the Issuance Date of such share, whether or not declared and whether or not the Company has funds legally available to make payment thereof, at a rate per annum equal to the Dividend Rate as further specified below and compound quarterly on each Preferred Dividend Payment Date (to the extent not paid on such Preferred Dividend Payment Date) and (ii) shall, subject to the terms of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be payable quarterly in arrears, if, as and when authorized by the Board and declared by the Company, only out of funds legally available therefor, on each Preferred Dividend Payment Date, commencing on the first Preferred Dividend Payment Date following the Issuance Date of such share. The amount of Preferred Dividends accruing with respect to any share of Series A Preferred Stock for any day shall be determined by </w:t>
      </w:r>
      <w:r>
        <w:rPr>
          <w:rFonts w:ascii="Times New Roman" w:cs="Times New Roman" w:eastAsia="Times New Roman" w:hAnsi="Times New Roman"/>
          <w:sz w:val="18"/>
          <w:szCs w:val="18"/>
          <w:u w:val="single" w:color="auto"/>
          <w:color w:val="auto"/>
        </w:rPr>
        <w:t>dividing</w:t>
      </w:r>
    </w:p>
    <w:p>
      <w:pPr>
        <w:spacing w:after="0" w:line="2" w:lineRule="exact"/>
        <w:rPr>
          <w:rFonts w:ascii="Times New Roman" w:cs="Times New Roman" w:eastAsia="Times New Roman" w:hAnsi="Times New Roman"/>
          <w:sz w:val="18"/>
          <w:szCs w:val="18"/>
          <w:color w:val="auto"/>
        </w:rPr>
      </w:pPr>
    </w:p>
    <w:p>
      <w:pPr>
        <w:ind w:left="-8" w:firstLine="8"/>
        <w:spacing w:after="0" w:line="251" w:lineRule="auto"/>
        <w:tabs>
          <w:tab w:leader="none" w:pos="2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Implied Quarterly Dividend Amount as of such day by (y) the actual number of days in the Preferred Dividend Payment Period in which such day falls;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during any Preferred Dividend Payment Period any Accrued Dividends in respect of one (1) or more prior Preferred Dividend Payment Periods are paid, then after the date of such payment the amount of Preferred Dividends accruing with respect to any share of Series A Preferred Stock for any day shall be determined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(x) the Implied Quarterly Dividend Amount (recalculated to take into account such payment of Accrued Dividends) by (y) the actual number of days in such Preferred Dividend Payment Period. The amount of Preferred Dividends accrued with respect to any share of Series A Preferred Stock for any Preferred Dividend Payment Period shall equal the sum of the daily Preferred Dividend amounts accrued in accordance with the prior sentence of this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with respect to such share during such Preferred Dividend Payment Period. For the avoidance of doubt, for any share of Series A Preferred Stock with an Issuance Date that is not a Preferred Dividend Payment Date, the amount of Preferred Dividends accrued with respect to the Preferred Dividend Payment Period for such share shall equal the product of (A) the daily accrual determined as specified in the prior sentence, assuming a full Preferred Dividend Payment Period in accordance with the definition of such term, and (B) the number of days from and including such Issuance Date to but excluding the next Preferred Dividend Payment Date.</w:t>
      </w:r>
    </w:p>
    <w:p>
      <w:pPr>
        <w:spacing w:after="0" w:line="192" w:lineRule="exact"/>
        <w:rPr>
          <w:rFonts w:ascii="Times New Roman" w:cs="Times New Roman" w:eastAsia="Times New Roman" w:hAnsi="Times New Roman"/>
          <w:sz w:val="18"/>
          <w:szCs w:val="18"/>
          <w:color w:val="auto"/>
        </w:rPr>
      </w:pPr>
    </w:p>
    <w:p>
      <w:pPr>
        <w:ind w:left="-8" w:right="260" w:firstLine="656"/>
        <w:spacing w:after="0" w:line="258" w:lineRule="auto"/>
        <w:tabs>
          <w:tab w:leader="none" w:pos="13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Preferred Dividends</w:t>
      </w:r>
      <w:r>
        <w:rPr>
          <w:rFonts w:ascii="Times New Roman" w:cs="Times New Roman" w:eastAsia="Times New Roman" w:hAnsi="Times New Roman"/>
          <w:sz w:val="18"/>
          <w:szCs w:val="18"/>
          <w:color w:val="auto"/>
        </w:rPr>
        <w:t>. Preferred Dividends may be paid only if, as and when authorized by the Board and declared by the Company. Preferred Dividends that have accrued in a Preferred Dividend Payment Period may, at the option of the Company in its sole discretion and to the extent permitted by applicable law, be paid fully or partially in cash on the Preferred Dividend Payment Date immediately following such Preferred Dividend Payment Period (any Preferred Dividend or portion of a Preferred Dividend paid in such manner, a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Cash Dividend payments shall be aggregated per Holder and shall be made to the nearest cent (with $.005 being rounded upward).</w:t>
      </w:r>
    </w:p>
    <w:p>
      <w:pPr>
        <w:spacing w:after="0" w:line="183" w:lineRule="exact"/>
        <w:rPr>
          <w:rFonts w:ascii="Times New Roman" w:cs="Times New Roman" w:eastAsia="Times New Roman" w:hAnsi="Times New Roman"/>
          <w:sz w:val="18"/>
          <w:szCs w:val="18"/>
          <w:color w:val="auto"/>
        </w:rPr>
      </w:pPr>
    </w:p>
    <w:p>
      <w:pPr>
        <w:ind w:left="-8" w:right="80" w:firstLine="656"/>
        <w:spacing w:after="0" w:line="255" w:lineRule="auto"/>
        <w:tabs>
          <w:tab w:leader="none" w:pos="137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Each Participating Dividend or Preferred Dividend shall be paid pro rata to the Holders of shares of Preferred Stock entitled thereto. Each Participating Dividend or Preferred Dividend shall be payable to the Holders of Preferred Stock as they appear on the Register at the close of business on the record date designated by the Board for such dividends (each such date, a “</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which (i) with respect to Participating Dividends, shall be the same day as the record date for the payment of dividends to the holders of shares of Common Stock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Dividend Record Date</w:t>
      </w:r>
      <w:r>
        <w:rPr>
          <w:rFonts w:ascii="Times New Roman" w:cs="Times New Roman" w:eastAsia="Times New Roman" w:hAnsi="Times New Roman"/>
          <w:sz w:val="18"/>
          <w:szCs w:val="18"/>
          <w:color w:val="auto"/>
        </w:rPr>
        <w:t>”); and (ii) with respect to Preferred Dividends (including Accrued Dividends that were not declared and paid on the Preferred Dividend Payment Date immediately following the Preferred Dividend Payment Period in which they accrued), shall be not more than thirty (30) days nor less than ten (10) days preceding the applicable Preferred Dividend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8" w:name="page19"/>
    <w:bookmarkEnd w:id="18"/>
    <w:p>
      <w:pPr>
        <w:ind w:right="20" w:firstLine="656"/>
        <w:spacing w:after="0" w:line="258" w:lineRule="auto"/>
        <w:tabs>
          <w:tab w:leader="none" w:pos="1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Dividends</w:t>
      </w:r>
      <w:r>
        <w:rPr>
          <w:rFonts w:ascii="Times New Roman" w:cs="Times New Roman" w:eastAsia="Times New Roman" w:hAnsi="Times New Roman"/>
          <w:sz w:val="18"/>
          <w:szCs w:val="18"/>
          <w:color w:val="auto"/>
        </w:rPr>
        <w:t>. So long as any shares of Series A Preferred Stock remain outstanding, unless full Preferred Dividends on all outstanding shares of Series A Preferred Stock that have accrued from and including the date of issuance have been declared and paid in cash, or have been or contemporaneously are declared and a sum sufficient for the payment of those Preferred Dividends has been or is set aside for the benefit of the Holders, the Company may not declare any cash dividend on, or make any cash distributions relating to, Junior Stock or Parity Stock, or redeem, purchase, acquire (either directly or through any Subsidiary) or make a liquidation payment relating to, any Junior Stock or Parity Stock, other than:</w:t>
      </w:r>
    </w:p>
    <w:p>
      <w:pPr>
        <w:spacing w:after="0" w:line="183" w:lineRule="exact"/>
        <w:rPr>
          <w:rFonts w:ascii="Times New Roman" w:cs="Times New Roman" w:eastAsia="Times New Roman" w:hAnsi="Times New Roman"/>
          <w:sz w:val="18"/>
          <w:szCs w:val="18"/>
          <w:color w:val="auto"/>
        </w:rPr>
      </w:pPr>
    </w:p>
    <w:p>
      <w:pPr>
        <w:ind w:right="20" w:firstLine="1304"/>
        <w:spacing w:after="0" w:line="261"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shares of Junior Stock in connection with any employment contract, benefit plan or other similar arrangement with or for the benefit of current or former employees, officers, directors or consultants, including acquisitions in connection with tax withholding upon vesting or settlement of options, restricted stock units, performance share units or other similar equity awards or upon forfeiture or cashless exercise of options or other equity awards);</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Junior Stock through the use of the proceeds of a substantially contemporaneous sale of other shares of Junior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pacing w:after="0" w:line="206" w:lineRule="exact"/>
        <w:rPr>
          <w:rFonts w:ascii="Times New Roman" w:cs="Times New Roman" w:eastAsia="Times New Roman" w:hAnsi="Times New Roman"/>
          <w:sz w:val="18"/>
          <w:szCs w:val="18"/>
          <w:color w:val="auto"/>
        </w:rPr>
      </w:pPr>
    </w:p>
    <w:p>
      <w:pPr>
        <w:ind w:right="340" w:firstLine="1304"/>
        <w:spacing w:after="0" w:line="282" w:lineRule="auto"/>
        <w:tabs>
          <w:tab w:leader="none" w:pos="1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exchange or conversion of any class or series of Parity Stock or Junior Stock for any other class or series of Parity Stock (in the case of Parity Stock) or Junior Stock (in the case of Parity Stock or Junior Stock);</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9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fractional interests in shares of Parity Stock or Junior Stock pursuant to the conversion or exchange provisions of such Parity Stock or Junior Stock or the security being converted or exchanged;</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9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dividends in respect of Junior Stock where the dividend is in the form of the same stock or rights to purchase the same stock as that on which the dividend is being paid;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Junior Stock or rights to purchase Junior Stock; or</w:t>
      </w:r>
    </w:p>
    <w:p>
      <w:pPr>
        <w:spacing w:after="0" w:line="225" w:lineRule="exact"/>
        <w:rPr>
          <w:rFonts w:ascii="Times New Roman" w:cs="Times New Roman" w:eastAsia="Times New Roman" w:hAnsi="Times New Roman"/>
          <w:sz w:val="18"/>
          <w:szCs w:val="18"/>
          <w:color w:val="auto"/>
        </w:rPr>
      </w:pPr>
    </w:p>
    <w:p>
      <w:pPr>
        <w:ind w:right="220" w:firstLine="1304"/>
        <w:spacing w:after="0" w:line="282" w:lineRule="auto"/>
        <w:tabs>
          <w:tab w:leader="none" w:pos="1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 connection with the implementation of a shareholders’ rights or similar plan, or the redemption, repurchase or exchange of any rights under any such plan.</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for so long as any shares of Series A Preferred Stock remain outstanding, if dividends are not declared and paid in full upon the shares of Series A Preferred Stock and any Parity Stock, all dividends declared upon shares of Series A Preferred Stock and any Parity Stock will be declared on a proportional basis so that the amount of dividends declared per share will bear to each other the same ratio that all accrued and unpaid dividends as of the end of the most recent Preferred Dividend Payment Period per share of Series A Preferred Stock and accrued and unpaid dividends as of the end of the most recent dividend period per share of any Parity Stock bear to each other.</w:t>
      </w:r>
    </w:p>
    <w:p>
      <w:pPr>
        <w:spacing w:after="0" w:line="183" w:lineRule="exact"/>
        <w:rPr>
          <w:sz w:val="20"/>
          <w:szCs w:val="20"/>
          <w:color w:val="auto"/>
        </w:rPr>
      </w:pPr>
    </w:p>
    <w:p>
      <w:pPr>
        <w:ind w:right="60" w:firstLine="656"/>
        <w:spacing w:after="0" w:line="255" w:lineRule="auto"/>
        <w:tabs>
          <w:tab w:leader="none" w:pos="13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Following a Record Date</w:t>
      </w:r>
      <w:r>
        <w:rPr>
          <w:rFonts w:ascii="Times New Roman" w:cs="Times New Roman" w:eastAsia="Times New Roman" w:hAnsi="Times New Roman"/>
          <w:sz w:val="18"/>
          <w:szCs w:val="18"/>
          <w:color w:val="auto"/>
        </w:rPr>
        <w:t xml:space="preserve">. If the Conversion Date for any shares of Series A Preferred Stock is prior to the close of business on a Dividend Record Date, the Holder of such shares will not be entitled to any dividend in respect of such Dividend Record Date, other than through the inclusion of Accrued Dividends as of the Conversion Date in the calculation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applicable. If the Conversion Date for any shares of Series A Preferred Stock is after the close of business on a Dividend Record Date but prior to the corresponding payment date for such dividend, the Holder of such shares as of such Dividend Record Date shall be entitled to receive such dividend, notwithstanding the conversion of such shares prior to the applicable dividend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of such dividend shall not be included for the purpose of determining the amount of Accrued Dividends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as applicable, with respect to such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Liquidation Rights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and in the amount per share of Series A Preferred Stock equal to the greater of (i) the sum of (A) the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Accrued Dividends with respect to such share of Series A Preferred Stock as of the date of such voluntary or involuntary liquidation, dissolution or winding up of the affairs of the Company and (ii) the amount such Holders would have received had such Holders, immediately prior to such voluntary or involuntary liquidation, dissolution or winding up of the affairs of the Company, converted such shares of Series A Preferred Stock into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without regard to any of the limitations on convertibility contained therein or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will have no right or claim to any of the Company’s remaining assets.</w:t>
      </w:r>
    </w:p>
    <w:p>
      <w:pPr>
        <w:spacing w:after="0" w:line="192" w:lineRule="exact"/>
        <w:rPr>
          <w:sz w:val="20"/>
          <w:szCs w:val="20"/>
          <w:color w:val="auto"/>
        </w:rPr>
      </w:pPr>
    </w:p>
    <w:p>
      <w:pPr>
        <w:ind w:right="80" w:firstLine="656"/>
        <w:spacing w:after="0" w:line="258" w:lineRule="auto"/>
        <w:tabs>
          <w:tab w:leader="none" w:pos="13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Payment</w:t>
      </w:r>
      <w:r>
        <w:rPr>
          <w:rFonts w:ascii="Times New Roman" w:cs="Times New Roman" w:eastAsia="Times New Roman" w:hAnsi="Times New Roman"/>
          <w:sz w:val="18"/>
          <w:szCs w:val="18"/>
          <w:color w:val="auto"/>
        </w:rPr>
        <w:t xml:space="preserve">. If in connection with any distribution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the assets of the Company or proceeds therefrom are not sufficient to pay in full the aggregate liquidating distributions required to be paid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to all Holders and the liquidating distributions payable all holders of any Parity Stock, the amounts distributed to the Holders and to the holders of all such Parity Stock shall be paid pro rata in accordance with the respective aggregate liquidating distributions to which they would otherwise be entitled if all amounts payable thereon were paid in full.</w:t>
      </w:r>
    </w:p>
    <w:p>
      <w:pPr>
        <w:spacing w:after="0" w:line="183" w:lineRule="exact"/>
        <w:rPr>
          <w:rFonts w:ascii="Times New Roman" w:cs="Times New Roman" w:eastAsia="Times New Roman" w:hAnsi="Times New Roman"/>
          <w:sz w:val="18"/>
          <w:szCs w:val="18"/>
          <w:color w:val="auto"/>
        </w:rPr>
      </w:pPr>
    </w:p>
    <w:p>
      <w:pPr>
        <w:ind w:firstLine="656"/>
        <w:spacing w:after="0" w:line="256" w:lineRule="auto"/>
        <w:tabs>
          <w:tab w:leader="none" w:pos="13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8"/>
          <w:szCs w:val="18"/>
          <w:u w:val="single" w:color="auto"/>
          <w:color w:val="auto"/>
        </w:rPr>
        <w:t>Right of the Holders to Convert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3" w:lineRule="auto"/>
        <w:tabs>
          <w:tab w:leader="none" w:pos="13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from and after the later of (1) May 7, 2023 and (2) the earlier of (x) the date of the Subsequent Common Purchase (as defined in the Investment Agreement) and (y) November 7, 2023 each Holder shall have the right, at such Holder’s option, subject to the conversion procedures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to convert (an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xml:space="preserve">”) each share of such Holder’s Series A Preferred Stock at any time into (i) the number of shares of Common Stock equal to the quotient of (A) the sum of the Liquidation Preference and the Accrued Dividends with respect to such share of Series A Preferred Stock as of the applicable Conversion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Conversion Price as of the applicable Conversion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cash in lieu of fractional shares as set out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conversion by any Holder shall be permitted until the expiration or early termination of the applicable waiting period, if any, under the HSR Act with respect to any conversion of the Series A Preferred Stock by such Holder. The right of Optional Conversion may be exercised as to all or any portion of such Holder’s Series A Preferred Stock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each case, no right of Optional Conversion may be exercised by a Holder in respect of fewer than 10,000 shares of Series A Preferred Stock (unless such conversion relates to all shares of Series A Preferred Stock held by such Holder).</w:t>
      </w:r>
    </w:p>
    <w:p>
      <w:pPr>
        <w:spacing w:after="0" w:line="194" w:lineRule="exact"/>
        <w:rPr>
          <w:rFonts w:ascii="Times New Roman" w:cs="Times New Roman" w:eastAsia="Times New Roman" w:hAnsi="Times New Roman"/>
          <w:sz w:val="18"/>
          <w:szCs w:val="18"/>
          <w:color w:val="auto"/>
        </w:rPr>
      </w:pPr>
    </w:p>
    <w:p>
      <w:pPr>
        <w:jc w:val="both"/>
        <w:ind w:right="120" w:firstLine="656"/>
        <w:spacing w:after="0" w:line="258" w:lineRule="auto"/>
        <w:tabs>
          <w:tab w:leader="none" w:pos="13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at all times reserve and keep available out of its authorized and unissued Common Stock, solely for issuance upon the conversion of the Series A Preferred Stock, such number of shares of Common Stock as shall from time to time be issuable upon the conversion of all the shares of Series A Preferred Stock then outstanding (without regard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Any shares of Common Stock issued upon conversion of Series A Preferred Stock shall be duly authorized, validly issued, fully paid and nonassessable and will not be subject to preemptive rights or subscription rights of any other stockholder of the Company.</w:t>
      </w:r>
    </w:p>
    <w:p>
      <w:pPr>
        <w:spacing w:after="0" w:line="183"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Mandatory Conversion by the Company</w:t>
      </w:r>
      <w:r>
        <w:rPr>
          <w:rFonts w:ascii="Times New Roman" w:cs="Times New Roman" w:eastAsia="Times New Roman" w:hAnsi="Times New Roman"/>
          <w:sz w:val="17"/>
          <w:szCs w:val="17"/>
          <w:color w:val="auto"/>
        </w:rPr>
        <w:t>. (a) At any time after the three (3) year anniversary of the Original Issuance Date, if the VWAP per share of Common Stock was greater than the Mandatory Conversion Price for each of at least twenty (20) Trading Days in any period of thirty</w:t>
      </w:r>
    </w:p>
    <w:p>
      <w:pPr>
        <w:spacing w:after="0" w:line="1" w:lineRule="exact"/>
        <w:rPr>
          <w:sz w:val="20"/>
          <w:szCs w:val="20"/>
          <w:color w:val="auto"/>
        </w:rPr>
      </w:pPr>
    </w:p>
    <w:p>
      <w:pPr>
        <w:ind w:firstLine="8"/>
        <w:spacing w:after="0" w:line="251"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(such thirty (30) consecutive Trading Day period, the “</w:t>
      </w:r>
      <w:r>
        <w:rPr>
          <w:rFonts w:ascii="Times New Roman" w:cs="Times New Roman" w:eastAsia="Times New Roman" w:hAnsi="Times New Roman"/>
          <w:sz w:val="18"/>
          <w:szCs w:val="18"/>
          <w:u w:val="single" w:color="auto"/>
          <w:color w:val="auto"/>
        </w:rPr>
        <w:t>Trading Period</w:t>
      </w:r>
      <w:r>
        <w:rPr>
          <w:rFonts w:ascii="Times New Roman" w:cs="Times New Roman" w:eastAsia="Times New Roman" w:hAnsi="Times New Roman"/>
          <w:sz w:val="18"/>
          <w:szCs w:val="18"/>
          <w:color w:val="auto"/>
        </w:rPr>
        <w:t>”), the Company may elect to convert (a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all of the outstanding shares of Series A Preferred Stock into shares of Common Stock (the date selected by the Company for any Mandatory Conversion pursuant to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require a Mandatory Conversion if such Mandatory Conversion is prohibited by the Investment Agreement. In the case of a Mandatory Conversion, subject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each share of Series A Preferred Stock then outstanding shall be converted into (A) the number of shares of Common Stock equal to the quotient of (1) the sum of the Liquidation Preference and the Accrued Dividends with respect to such share of Series A Preferred Stock as of the Mandatory Conversion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(2) the Conversion Price of such share in effect as of the Mandatory Conversion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cash in lieu of fractional shares as set out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right="60" w:firstLine="656"/>
        <w:spacing w:after="0" w:line="256" w:lineRule="auto"/>
        <w:tabs>
          <w:tab w:leader="none" w:pos="13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xml:space="preserve">. If the Company elects to effect a Mandatory Conversion, the Company shall, within twenty (20) Business Days following the completion of the applicable thirty (30) day Trading Period referred to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above, provide notice of the Mandatory Conversion to each Holder (such notice, a “</w:t>
      </w:r>
      <w:r>
        <w:rPr>
          <w:rFonts w:ascii="Times New Roman" w:cs="Times New Roman" w:eastAsia="Times New Roman" w:hAnsi="Times New Roman"/>
          <w:sz w:val="18"/>
          <w:szCs w:val="18"/>
          <w:u w:val="single" w:color="auto"/>
          <w:color w:val="auto"/>
        </w:rPr>
        <w:t>Notice of Mandatory Conversion</w:t>
      </w:r>
      <w:r>
        <w:rPr>
          <w:rFonts w:ascii="Times New Roman" w:cs="Times New Roman" w:eastAsia="Times New Roman" w:hAnsi="Times New Roman"/>
          <w:sz w:val="18"/>
          <w:szCs w:val="18"/>
          <w:color w:val="auto"/>
        </w:rPr>
        <w:t>”). For the avoidance of doubt, delivery of a Notice of Mandatory Conversion does not limit a Holder’s right to convert on a Conversion Date prior to the Mandatory Conversion Date. The Mandatory Conversion Date selected by the Company shall be no less than ten (10) Business Days and no more than thirty (30) Business Days after the date on which the Company provides the Notice of Mandatory Conversion to the Holders. The Notice of Mandatory Conversion shall state,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920" w:hanging="616"/>
        <w:spacing w:after="0"/>
        <w:tabs>
          <w:tab w:leader="none" w:pos="1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Conversion Date selected by the Company; and</w:t>
      </w:r>
    </w:p>
    <w:p>
      <w:pPr>
        <w:spacing w:after="0" w:line="225" w:lineRule="exact"/>
        <w:rPr>
          <w:rFonts w:ascii="Times New Roman" w:cs="Times New Roman" w:eastAsia="Times New Roman" w:hAnsi="Times New Roman"/>
          <w:sz w:val="18"/>
          <w:szCs w:val="18"/>
          <w:color w:val="auto"/>
        </w:rPr>
      </w:pPr>
    </w:p>
    <w:p>
      <w:pPr>
        <w:ind w:firstLine="1304"/>
        <w:spacing w:after="0" w:line="261" w:lineRule="auto"/>
        <w:tabs>
          <w:tab w:leader="none" w:pos="19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as in effect on the Mandatory Conversion Date, the amount of Accrued Dividends on each share of Series A Preferred Stock held by such Holder as of the Mandatory Conversion Date, the number of shares of Common Stock to be issued to such Holder upon conversion of each share of Series A Preferred Stock held by such Holder (including in respect of the Accrued Dividends thereon) and, if applicable, the cash in lieu of fractional shares to be paid thereon.</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Conversion Procedures and Effect of Conversion</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Conversion Procedure</w:t>
      </w:r>
      <w:r>
        <w:rPr>
          <w:rFonts w:ascii="Times New Roman" w:cs="Times New Roman" w:eastAsia="Times New Roman" w:hAnsi="Times New Roman"/>
          <w:sz w:val="18"/>
          <w:szCs w:val="18"/>
          <w:color w:val="auto"/>
        </w:rPr>
        <w:t xml:space="preserve">. A Holder must do each of the following in order to receive shares of Common Stock upon conversion of shares of Series A Preferred Stock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1304"/>
        <w:spacing w:after="0" w:line="266" w:lineRule="auto"/>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Optional Conversion, complete and manually sign the conversion notice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and deliver such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Conversion Notice may be conditional on the completion of a Change of Control or other corporate transaction as such Holder may specify;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Company the certificate or certificates (if any) representing the shares of Series A Preferred Stock to be converted;</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furnish appropriate endorsements and transfer documents;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required, pay any stock transfer, documentary, stamp or similar taxes not payable by the Company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means (A) with respect to an Optional Conversion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the date on which such Holder complies with the procedures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(including the satisfaction of any conditions to conversion set forth in the Conversion Notice) and (B) with respect to Mandatory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Mandatory Conversion Date.</w:t>
      </w:r>
    </w:p>
    <w:p>
      <w:pPr>
        <w:spacing w:after="0" w:line="176" w:lineRule="exact"/>
        <w:rPr>
          <w:sz w:val="20"/>
          <w:szCs w:val="20"/>
          <w:color w:val="auto"/>
        </w:rPr>
      </w:pPr>
    </w:p>
    <w:p>
      <w:pPr>
        <w:jc w:val="both"/>
        <w:ind w:right="120" w:firstLine="656"/>
        <w:spacing w:after="0" w:line="266" w:lineRule="auto"/>
        <w:tabs>
          <w:tab w:leader="none" w:pos="13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Effective immediately prior to the close of business on the Conversion Date applicable to any shares of Series A Preferred Stock, subject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Preferred Dividends shall no longer accrue or be declared on any such shares of Series A Preferred Stock, and on conversion, such shares of Series A Preferred Stock shall cease to be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2" w:name="page23"/>
    <w:bookmarkEnd w:id="22"/>
    <w:p>
      <w:pPr>
        <w:ind w:left="-8" w:firstLine="656"/>
        <w:spacing w:after="0" w:line="253" w:lineRule="auto"/>
        <w:tabs>
          <w:tab w:leader="none" w:pos="137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Holder of Underlying Securities as of Conversion Date</w:t>
      </w:r>
      <w:r>
        <w:rPr>
          <w:rFonts w:ascii="Times New Roman" w:cs="Times New Roman" w:eastAsia="Times New Roman" w:hAnsi="Times New Roman"/>
          <w:sz w:val="18"/>
          <w:szCs w:val="18"/>
          <w:color w:val="auto"/>
        </w:rPr>
        <w:t xml:space="preserve">. The Person or Persons entitled to receive the Common Stock and, to the extent applicable, cash on a Conversion Date shall be treated for all purposes as the record holder(s) of such shares of Common Stock and, to the extent applicable, cash as of the close of business on such Conversion Date. As promptly as practicable on or after the Conversion Date and compliance by the applicable Holder with the relevant procedures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in any event no later than three (3) Trading Days thereafter), the Company shall issue the number of whole shares of Common Stock issuable upon conversion (and deliver payment of cash in lieu of fractional shares as set out in </w:t>
      </w:r>
      <w:r>
        <w:rPr>
          <w:rFonts w:ascii="Times New Roman" w:cs="Times New Roman" w:eastAsia="Times New Roman" w:hAnsi="Times New Roman"/>
          <w:sz w:val="18"/>
          <w:szCs w:val="18"/>
          <w:u w:val="single" w:color="auto"/>
          <w:color w:val="auto"/>
        </w:rPr>
        <w:t>Section 8(e)</w:t>
      </w:r>
      <w:r>
        <w:rPr>
          <w:rFonts w:ascii="Times New Roman" w:cs="Times New Roman" w:eastAsia="Times New Roman" w:hAnsi="Times New Roman"/>
          <w:sz w:val="18"/>
          <w:szCs w:val="18"/>
          <w:color w:val="auto"/>
        </w:rPr>
        <w:t>). Such delivery of shares of Common Stock, securities or other property shall be made, at the option of the Company, in certificated form or by book-entry. Any such certificate or certificates shall be delivered by the Company to the appropriate Holder on a book-entry basis or by mailing certificates evidencing the shares to the Holders at their respective addresses as set forth in the Conversion Notice (in the case of an Optional Conversion) or in the records of the Company (in the case of a Mandatory Conversion). In the event that a Holder shall not by written notice designate the name in which shares of Common Stock (and payments of cash in lieu of fractional shares) to be delivered upon conversion of shares of Series A Preferred Stock should be registered or paid, or the manner in which such shares and cash should be delivered, the Company shall be entitled to register and deliver such shares, and make such payment, in the name of the Holder and in the manner shown on the records of the Company.</w:t>
      </w:r>
    </w:p>
    <w:p>
      <w:pPr>
        <w:spacing w:after="0" w:line="189" w:lineRule="exact"/>
        <w:rPr>
          <w:rFonts w:ascii="Times New Roman" w:cs="Times New Roman" w:eastAsia="Times New Roman" w:hAnsi="Times New Roman"/>
          <w:sz w:val="18"/>
          <w:szCs w:val="18"/>
          <w:color w:val="auto"/>
        </w:rPr>
      </w:pPr>
    </w:p>
    <w:p>
      <w:pPr>
        <w:ind w:left="-8" w:right="20" w:firstLine="656"/>
        <w:spacing w:after="0" w:line="256" w:lineRule="auto"/>
        <w:tabs>
          <w:tab w:leader="none" w:pos="13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xml:space="preserve">. No adjustment to shares of Series A Preferred Stock being converted on a Conversion Date or to the shares of Common Stock deliverable to the Holders upon the conversion thereof shall be made in respect of dividends or other distributions payable to holders of the Common Stock as of any date prior to the close of business on such Conversion Date (it being understood that the foregoing shall not limit any Holder’s right to receive Participating Dividends payable prior to such time or the operation of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in respect of events occurring prior to such time). Until the Conversion Date with respect to any share of Series A Preferred Stock has occurred, such share of Series A Preferred Stock will remain outstanding and will be entitled to all of the powers, designations, preferences and other rights provided herein.</w:t>
      </w:r>
    </w:p>
    <w:p>
      <w:pPr>
        <w:spacing w:after="0" w:line="187" w:lineRule="exact"/>
        <w:rPr>
          <w:rFonts w:ascii="Times New Roman" w:cs="Times New Roman" w:eastAsia="Times New Roman" w:hAnsi="Times New Roman"/>
          <w:sz w:val="18"/>
          <w:szCs w:val="18"/>
          <w:color w:val="auto"/>
        </w:rPr>
      </w:pPr>
    </w:p>
    <w:p>
      <w:pPr>
        <w:jc w:val="both"/>
        <w:ind w:left="-8" w:right="140" w:firstLine="656"/>
        <w:spacing w:after="0" w:line="272" w:lineRule="auto"/>
        <w:tabs>
          <w:tab w:leader="none" w:pos="137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xml:space="preserve">. No fractional shares of Common Stock will be delivered to the Holders upon conversion. In lieu of fractional shares otherwise issuable, the Holders will be entitled to receive, at the Company’s sole discretion, either (i) an amount in cash equal to the fraction of a share of Common Stock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the Closing Price of the Common Stock on the Trading Day immediately preceding the applicable Conversion Date or</w:t>
      </w:r>
    </w:p>
    <w:p>
      <w:pPr>
        <w:spacing w:after="0" w:line="1" w:lineRule="exact"/>
        <w:rPr>
          <w:rFonts w:ascii="Times New Roman" w:cs="Times New Roman" w:eastAsia="Times New Roman" w:hAnsi="Times New Roman"/>
          <w:sz w:val="17"/>
          <w:szCs w:val="17"/>
          <w:color w:val="auto"/>
        </w:rPr>
      </w:pPr>
    </w:p>
    <w:p>
      <w:pPr>
        <w:jc w:val="both"/>
        <w:ind w:left="-8" w:right="140" w:firstLine="8"/>
        <w:spacing w:after="0" w:line="255" w:lineRule="auto"/>
        <w:tabs>
          <w:tab w:leader="none" w:pos="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additional whole share of Common Stock. To determine whether the number of shares of Common Stock to be delivered to a Holder upon the conversion of such Holder’s shares of Series A Preferred Stock will include a fractional share, such determination shall be based on the aggregate number of shares of Series A Preferred Stock of such Holder that are being converted on any single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3" w:name="page24"/>
    <w:bookmarkEnd w:id="23"/>
    <w:p>
      <w:pPr>
        <w:ind w:left="1412" w:hanging="764"/>
        <w:spacing w:after="0"/>
        <w:tabs>
          <w:tab w:leader="none" w:pos="141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0" w:firstLine="1304"/>
        <w:spacing w:after="0" w:line="270" w:lineRule="auto"/>
        <w:tabs>
          <w:tab w:leader="none" w:pos="1908"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Certificate of Designations, (A) unless and until CFIUS Clearance (as defined in the Investment Agreement), is obtained, no shares of Common Stock will be issued or delivered upon any proposed conversion of any Series A Preferred Stock of any Investor Party, and no Series A Preferred Stock of any Investor Party will be convertible, in each case to the extent, and only to the extent, that such issuance, delivery, conversion or convertibility would result in the Investor Parties or a “person” or “group” (within the meaning of Section 13(d)</w:t>
      </w:r>
    </w:p>
    <w:p>
      <w:pPr>
        <w:spacing w:after="0" w:line="2" w:lineRule="exact"/>
        <w:rPr>
          <w:rFonts w:ascii="Times New Roman" w:cs="Times New Roman" w:eastAsia="Times New Roman" w:hAnsi="Times New Roman"/>
          <w:sz w:val="17"/>
          <w:szCs w:val="17"/>
          <w:color w:val="auto"/>
        </w:rPr>
      </w:pPr>
    </w:p>
    <w:p>
      <w:pPr>
        <w:ind w:left="-8" w:firstLine="8"/>
        <w:spacing w:after="0" w:line="251" w:lineRule="auto"/>
        <w:tabs>
          <w:tab w:leader="none" w:pos="2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Exchange Act) beneficially owning in excess of nine and ninety-nine-one-hundredths percent (9.99%) of the then-outstanding Stockholder Voting Power and (B) unless and until the Requisite Stockholder Approval is obtained, no shares of Common Stock will be issued or delivered upon any proposed conversion of any Series A Preferred Stock of any Holder, and no Series A Preferred Stock of any Holder will be convertible, in each case to the extent, and only to the extent, that such issuance, delivery, conversion or convertibility would result in such Holder or a “person” or “group” (within the meaning of Section 13(d)(3) of the Exchange Act) beneficially owning in excess of nineteen and ninety-nine-one-hundredths percent (19.99%) of the then-outstanding Stockholder Voting Power (the restrictions set forth in the preceding clauses (A) and (B) of this sentence,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For these purposes, beneficial ownership and calculations of percentage ownership will be determined in accordance with Rule 13d-3 under the Exchange Act. The Company is not required to obtain, or to try to obtain, the Requisite Stockholder Approval.</w:t>
      </w:r>
    </w:p>
    <w:p>
      <w:pPr>
        <w:spacing w:after="0" w:line="193" w:lineRule="exact"/>
        <w:rPr>
          <w:rFonts w:ascii="Times New Roman" w:cs="Times New Roman" w:eastAsia="Times New Roman" w:hAnsi="Times New Roman"/>
          <w:sz w:val="18"/>
          <w:szCs w:val="18"/>
          <w:color w:val="auto"/>
        </w:rPr>
      </w:pPr>
    </w:p>
    <w:p>
      <w:pPr>
        <w:ind w:left="-8" w:right="40" w:firstLine="1304"/>
        <w:spacing w:after="0" w:line="256" w:lineRule="auto"/>
        <w:tabs>
          <w:tab w:leader="none" w:pos="1913"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conversion (and delivery of shares of Common Stock upon conversion of the Series A Preferred Stock) will be void and have no effect to the extent, but only to the extent, that such conversion and delivery would result in any Holder becoming the beneficial owner of shares of Common Stock outstanding at such time in excess of the Ownership Limitation. For the avoidance of doubt, a Holder may effect an Optional Conversion, and the Company may, upon exercise of its Mandatory Conversion right, force conversion of, a portion of such Holder’s Series A Preferred Stock up to the Ownership Limitation, in each case subject to the other requirements of this Certificate of Designations applicable to such Optional Conversion or Mandatory Conversion, as applicable.</w:t>
      </w:r>
    </w:p>
    <w:p>
      <w:pPr>
        <w:spacing w:after="0" w:line="187" w:lineRule="exact"/>
        <w:rPr>
          <w:rFonts w:ascii="Times New Roman" w:cs="Times New Roman" w:eastAsia="Times New Roman" w:hAnsi="Times New Roman"/>
          <w:sz w:val="18"/>
          <w:szCs w:val="18"/>
          <w:color w:val="auto"/>
        </w:rPr>
      </w:pPr>
    </w:p>
    <w:p>
      <w:pPr>
        <w:ind w:left="-8" w:right="20" w:firstLine="1304"/>
        <w:spacing w:after="0" w:line="253" w:lineRule="auto"/>
        <w:tabs>
          <w:tab w:leader="none" w:pos="191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if any consideration otherwise due upon the proposed conversion of any Series A Preferred Stock pursuant to an Optional Conversion or Mandatory Conversion is not delivered as a result of the Ownership Limitation, then the Company’s obligation to deliver such consideration will not be extinguished, and the Company will deliver such consideration (and the relevant shares of Series A Preferred Stock shall be deemed converted) as soon as reasonably practicable after the Holder of such Series A Preferred Stock provides written evidence satisfactory to the Company that such delivery will not contravene the Ownership Limitation. A Holder will provide such evidence as soon as reasonably practicable after its beneficial ownership is such that additional shares of Common Stock issuable upon conversion of Series A Preferred Stock may be delivered without contravening the Ownership Limitation. For the avoidance of doubt, until consideration due upon the conversion of any Series A Preferred Stock is delivered, such Series A Preferred Stock shall be deemed not to have converted, Preferred Dividends shall continue to accrue thereon and consideration ultimately paid out in respect thereof shall take into account such accrued Preferred Dividends (to the extent not previously paid as Cash Dividends).</w:t>
      </w:r>
    </w:p>
    <w:p>
      <w:pPr>
        <w:spacing w:after="0" w:line="194" w:lineRule="exact"/>
        <w:rPr>
          <w:rFonts w:ascii="Times New Roman" w:cs="Times New Roman" w:eastAsia="Times New Roman" w:hAnsi="Times New Roman"/>
          <w:sz w:val="18"/>
          <w:szCs w:val="18"/>
          <w:color w:val="auto"/>
        </w:rPr>
      </w:pPr>
    </w:p>
    <w:p>
      <w:pPr>
        <w:ind w:left="-8" w:right="260" w:firstLine="656"/>
        <w:spacing w:after="0" w:line="258" w:lineRule="auto"/>
        <w:tabs>
          <w:tab w:leader="none" w:pos="13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Shares</w:t>
      </w:r>
      <w:r>
        <w:rPr>
          <w:rFonts w:ascii="Times New Roman" w:cs="Times New Roman" w:eastAsia="Times New Roman" w:hAnsi="Times New Roman"/>
          <w:sz w:val="18"/>
          <w:szCs w:val="18"/>
          <w:color w:val="auto"/>
        </w:rPr>
        <w:t>. Shares of Series A Preferred Stock converted in accordance with this Certificate of Designations, or otherwise acquired by the Company in any manner whatsoever, shall be retired promptly after the conversion or acquisition thereof and shall not be reissued as shares of such series. 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4" w:name="page25"/>
    <w:bookmarkEnd w:id="24"/>
    <w:p>
      <w:pPr>
        <w:ind w:right="480" w:firstLine="656"/>
        <w:spacing w:after="0" w:line="266" w:lineRule="auto"/>
        <w:tabs>
          <w:tab w:leader="none" w:pos="13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Conversion</w:t>
      </w:r>
      <w:r>
        <w:rPr>
          <w:rFonts w:ascii="Times New Roman" w:cs="Times New Roman" w:eastAsia="Times New Roman" w:hAnsi="Times New Roman"/>
          <w:sz w:val="18"/>
          <w:szCs w:val="18"/>
          <w:color w:val="auto"/>
        </w:rPr>
        <w:t>. In case any certificate for shares of Series A Preferred Stock shall be surrendered for partial conversion, the Company shall, at its expense, execute and deliver to or upon the written order of the Holder of the certificate so surrendered a new certificate for the shares of Series A Preferred Stock not converted.</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Holder Rights Upon Change of Control</w:t>
      </w:r>
      <w:r>
        <w:rPr>
          <w:rFonts w:ascii="Times New Roman" w:cs="Times New Roman" w:eastAsia="Times New Roman" w:hAnsi="Times New Roman"/>
          <w:sz w:val="18"/>
          <w:szCs w:val="18"/>
          <w:color w:val="auto"/>
        </w:rPr>
        <w:t>. Upon the occurrence of a Change of Control, each Holder of outstanding shares of Series A Preferred Stock may, at such Holder’s election: (i) effective as of immediately prior to the Change of Control, convert all or a portion of its shares of Series A Preferred Stock pursuant to an Optional Conversion (subject to the limitations set forth in Section 8(f)), or (ii) require the Company to purchase (a “</w:t>
      </w:r>
      <w:r>
        <w:rPr>
          <w:rFonts w:ascii="Times New Roman" w:cs="Times New Roman" w:eastAsia="Times New Roman" w:hAnsi="Times New Roman"/>
          <w:sz w:val="18"/>
          <w:szCs w:val="18"/>
          <w:u w:val="single" w:color="auto"/>
          <w:color w:val="auto"/>
        </w:rPr>
        <w:t>Change of Control Put</w:t>
      </w:r>
      <w:r>
        <w:rPr>
          <w:rFonts w:ascii="Times New Roman" w:cs="Times New Roman" w:eastAsia="Times New Roman" w:hAnsi="Times New Roman"/>
          <w:sz w:val="18"/>
          <w:szCs w:val="18"/>
          <w:color w:val="auto"/>
        </w:rPr>
        <w:t xml:space="preserve">”), any or all of its shares of Series A Preferred Stock at a purchase price per share of Series A Preferred Stock, payable in cash, equal to the greater of (A) the sum of (x) the Liquidation Preference of such share of Series A Preferred Stock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Accrued Dividends in respect of such share of Series A Preferred Stock, in each case as of the applicable Change of Control Purchase Date and (B) the amount of cash and the Fair Market Value of any other property that the Holder would have received if such Holder had converted such share of Series A Preferred Stock into Common Stock immediately prior to the Change of Control (the greater of (A) and (B), the “</w:t>
      </w:r>
      <w:r>
        <w:rPr>
          <w:rFonts w:ascii="Times New Roman" w:cs="Times New Roman" w:eastAsia="Times New Roman" w:hAnsi="Times New Roman"/>
          <w:sz w:val="18"/>
          <w:szCs w:val="18"/>
          <w:u w:val="single" w:color="auto"/>
          <w:color w:val="auto"/>
        </w:rPr>
        <w:t>Change of Control 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Company shall only be required to pay the Change of Control Purchase Price to the extent such purchase can be made out of funds legally available therefor and not in the event where such holder actually converts its shares of Series A Preferred Stock into Common Stock.</w:t>
      </w:r>
    </w:p>
    <w:p>
      <w:pPr>
        <w:spacing w:after="0" w:line="194" w:lineRule="exact"/>
        <w:rPr>
          <w:sz w:val="20"/>
          <w:szCs w:val="20"/>
          <w:color w:val="auto"/>
        </w:rPr>
      </w:pPr>
    </w:p>
    <w:p>
      <w:pPr>
        <w:ind w:firstLine="656"/>
        <w:spacing w:after="0" w:line="253" w:lineRule="auto"/>
        <w:tabs>
          <w:tab w:leader="none" w:pos="1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Change of Control Notice</w:t>
      </w:r>
      <w:r>
        <w:rPr>
          <w:rFonts w:ascii="Times New Roman" w:cs="Times New Roman" w:eastAsia="Times New Roman" w:hAnsi="Times New Roman"/>
          <w:sz w:val="18"/>
          <w:szCs w:val="18"/>
          <w:color w:val="auto"/>
        </w:rPr>
        <w:t>. On or before the twentieth (20th) Business Day prior to the date on which the Company anticipates consummating a Change of Control (or, if later, promptly after the Company discovers that a Change of Control may occur), a written notice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 of Control Notice</w:t>
      </w:r>
      <w:r>
        <w:rPr>
          <w:rFonts w:ascii="Times New Roman" w:cs="Times New Roman" w:eastAsia="Times New Roman" w:hAnsi="Times New Roman"/>
          <w:sz w:val="18"/>
          <w:szCs w:val="18"/>
          <w:color w:val="auto"/>
        </w:rPr>
        <w:t>”) shall be sent by or on behalf of the Company to the Holders as they appear in the records of the Company, which notice shall 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 (iii) the then applicable Conversion Rate. No later than ten (10) Business Days prior to the date on which the Company anticipates consummating the Change of Control as set forth in the Initial Change of Control Notice (or, if the Change of Control has already occurred as provided in the Initial Change of Control Notice, promptly, but no later than the tenth (10th) Business Day following receipt thereof), any Holder that desires to exercise its rights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shall notify the Company in writing thereof and shall specify (x) whether such Holder is electing to exercise its rights pursuant to </w:t>
      </w:r>
      <w:r>
        <w:rPr>
          <w:rFonts w:ascii="Times New Roman" w:cs="Times New Roman" w:eastAsia="Times New Roman" w:hAnsi="Times New Roman"/>
          <w:sz w:val="18"/>
          <w:szCs w:val="18"/>
          <w:u w:val="single" w:color="auto"/>
          <w:color w:val="auto"/>
        </w:rPr>
        <w:t>Section 9(a)</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both, and (y) the number of shares of Series A Preferred Stock subject thereto.</w:t>
      </w:r>
    </w:p>
    <w:p>
      <w:pPr>
        <w:spacing w:after="0" w:line="206" w:lineRule="exact"/>
        <w:rPr>
          <w:rFonts w:ascii="Times New Roman" w:cs="Times New Roman" w:eastAsia="Times New Roman" w:hAnsi="Times New Roman"/>
          <w:sz w:val="18"/>
          <w:szCs w:val="18"/>
          <w:color w:val="auto"/>
        </w:rPr>
      </w:pPr>
    </w:p>
    <w:p>
      <w:pPr>
        <w:ind w:right="100" w:firstLine="656"/>
        <w:spacing w:after="0" w:line="261" w:lineRule="auto"/>
        <w:tabs>
          <w:tab w:leader="none" w:pos="13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Change of Control Notice</w:t>
      </w:r>
      <w:r>
        <w:rPr>
          <w:rFonts w:ascii="Times New Roman" w:cs="Times New Roman" w:eastAsia="Times New Roman" w:hAnsi="Times New Roman"/>
          <w:sz w:val="18"/>
          <w:szCs w:val="18"/>
          <w:color w:val="auto"/>
        </w:rPr>
        <w:t xml:space="preserve">. If a Holder elects to exercise its rights pursuant to </w:t>
      </w:r>
      <w:r>
        <w:rPr>
          <w:rFonts w:ascii="Times New Roman" w:cs="Times New Roman" w:eastAsia="Times New Roman" w:hAnsi="Times New Roman"/>
          <w:sz w:val="18"/>
          <w:szCs w:val="18"/>
          <w:u w:val="single" w:color="auto"/>
          <w:color w:val="auto"/>
        </w:rPr>
        <w:t>Section 9(a)(ii)</w:t>
      </w:r>
      <w:r>
        <w:rPr>
          <w:rFonts w:ascii="Times New Roman" w:cs="Times New Roman" w:eastAsia="Times New Roman" w:hAnsi="Times New Roman"/>
          <w:sz w:val="18"/>
          <w:szCs w:val="18"/>
          <w:color w:val="auto"/>
        </w:rPr>
        <w:t>, within two (2) days following the effective date of the Change of Control (the “</w:t>
      </w:r>
      <w:r>
        <w:rPr>
          <w:rFonts w:ascii="Times New Roman" w:cs="Times New Roman" w:eastAsia="Times New Roman" w:hAnsi="Times New Roman"/>
          <w:sz w:val="18"/>
          <w:szCs w:val="18"/>
          <w:u w:val="single" w:color="auto"/>
          <w:color w:val="auto"/>
        </w:rPr>
        <w:t>Change of Control Effective Date</w:t>
      </w:r>
      <w:r>
        <w:rPr>
          <w:rFonts w:ascii="Times New Roman" w:cs="Times New Roman" w:eastAsia="Times New Roman" w:hAnsi="Times New Roman"/>
          <w:sz w:val="18"/>
          <w:szCs w:val="18"/>
          <w:color w:val="auto"/>
        </w:rPr>
        <w:t>”) (or if the Company discovers later than such date that a Change of Control has occurred, promptly following the date of such discovery), a final written notice shall be sent by or on behalf of the Company to the Holders as they appear in the records of the Company on such Change of Control Effective Date, which notice shall contain: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5" w:name="page26"/>
    <w:bookmarkEnd w:id="25"/>
    <w:p>
      <w:pPr>
        <w:ind w:left="1920" w:hanging="616"/>
        <w:spacing w:after="0"/>
        <w:tabs>
          <w:tab w:leader="none" w:pos="19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setting forth in reasonable detail the calculation of the Change of Control Purchase Price with respect to such Holder;</w:t>
      </w:r>
    </w:p>
    <w:p>
      <w:pPr>
        <w:spacing w:after="0" w:line="236" w:lineRule="exact"/>
        <w:rPr>
          <w:rFonts w:ascii="Times New Roman" w:cs="Times New Roman" w:eastAsia="Times New Roman" w:hAnsi="Times New Roman"/>
          <w:sz w:val="17"/>
          <w:szCs w:val="17"/>
          <w:color w:val="auto"/>
        </w:rPr>
      </w:pPr>
    </w:p>
    <w:p>
      <w:pPr>
        <w:ind w:right="320" w:firstLine="1304"/>
        <w:spacing w:after="0" w:line="266" w:lineRule="auto"/>
        <w:tabs>
          <w:tab w:leader="none" w:pos="19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of Control Purchase Date, which shall be no later than sixty (60) days after such notice is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Times New Roman" w:cs="Times New Roman" w:eastAsia="Times New Roman" w:hAnsi="Times New Roman"/>
          <w:sz w:val="18"/>
          <w:szCs w:val="18"/>
          <w:u w:val="single" w:color="auto"/>
          <w:color w:val="auto"/>
        </w:rPr>
        <w:t>Section 9(c)(iii) below</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a Holder must follow to receive the Change of Control Purchase Price in connection with such Change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w:t>
      </w:r>
    </w:p>
    <w:p>
      <w:pPr>
        <w:spacing w:after="0" w:line="206" w:lineRule="exact"/>
        <w:rPr>
          <w:rFonts w:ascii="Times New Roman" w:cs="Times New Roman" w:eastAsia="Times New Roman" w:hAnsi="Times New Roman"/>
          <w:sz w:val="18"/>
          <w:szCs w:val="18"/>
          <w:color w:val="auto"/>
        </w:rPr>
      </w:pPr>
    </w:p>
    <w:p>
      <w:pPr>
        <w:ind w:right="300" w:firstLine="656"/>
        <w:spacing w:after="0" w:line="266" w:lineRule="auto"/>
        <w:tabs>
          <w:tab w:leader="none" w:pos="13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Put Procedure</w:t>
      </w:r>
      <w:r>
        <w:rPr>
          <w:rFonts w:ascii="Times New Roman" w:cs="Times New Roman" w:eastAsia="Times New Roman" w:hAnsi="Times New Roman"/>
          <w:sz w:val="18"/>
          <w:szCs w:val="18"/>
          <w:color w:val="auto"/>
        </w:rPr>
        <w:t xml:space="preserve">. To receive the Change of Control Purchase Price, a Holder must surrender to the [Company] [Transfer Agent] in accordance with the instructions delivered pursuant to </w:t>
      </w:r>
      <w:r>
        <w:rPr>
          <w:rFonts w:ascii="Times New Roman" w:cs="Times New Roman" w:eastAsia="Times New Roman" w:hAnsi="Times New Roman"/>
          <w:sz w:val="18"/>
          <w:szCs w:val="18"/>
          <w:u w:val="single" w:color="auto"/>
          <w:color w:val="auto"/>
        </w:rPr>
        <w:t>Section 9(c)(iii)</w:t>
      </w:r>
      <w:r>
        <w:rPr>
          <w:rFonts w:ascii="Times New Roman" w:cs="Times New Roman" w:eastAsia="Times New Roman" w:hAnsi="Times New Roman"/>
          <w:sz w:val="18"/>
          <w:szCs w:val="18"/>
          <w:color w:val="auto"/>
        </w:rPr>
        <w:t>, the certificates representing the shares of Series A Preferred Stock to be repurchased by the Company or lost stock affidavits therefor, to the extent applicable.</w:t>
      </w:r>
    </w:p>
    <w:p>
      <w:pPr>
        <w:spacing w:after="0" w:line="175" w:lineRule="exact"/>
        <w:rPr>
          <w:rFonts w:ascii="Times New Roman" w:cs="Times New Roman" w:eastAsia="Times New Roman" w:hAnsi="Times New Roman"/>
          <w:sz w:val="18"/>
          <w:szCs w:val="18"/>
          <w:color w:val="auto"/>
        </w:rPr>
      </w:pPr>
    </w:p>
    <w:p>
      <w:pPr>
        <w:ind w:right="240" w:firstLine="656"/>
        <w:spacing w:after="0" w:line="256" w:lineRule="auto"/>
        <w:tabs>
          <w:tab w:leader="none" w:pos="13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upon Change of Control Put</w:t>
      </w:r>
      <w:r>
        <w:rPr>
          <w:rFonts w:ascii="Times New Roman" w:cs="Times New Roman" w:eastAsia="Times New Roman" w:hAnsi="Times New Roman"/>
          <w:sz w:val="18"/>
          <w:szCs w:val="18"/>
          <w:color w:val="auto"/>
        </w:rPr>
        <w:t xml:space="preserve">. Upon a Change of Control Put, after Satisfaction of Indebtedness Obligations and subject to </w:t>
      </w:r>
      <w:r>
        <w:rPr>
          <w:rFonts w:ascii="Times New Roman" w:cs="Times New Roman" w:eastAsia="Times New Roman" w:hAnsi="Times New Roman"/>
          <w:sz w:val="18"/>
          <w:szCs w:val="18"/>
          <w:u w:val="single" w:color="auto"/>
          <w:color w:val="auto"/>
        </w:rPr>
        <w:t>Section 9(g)</w:t>
      </w:r>
      <w:r>
        <w:rPr>
          <w:rFonts w:ascii="Times New Roman" w:cs="Times New Roman" w:eastAsia="Times New Roman" w:hAnsi="Times New Roman"/>
          <w:sz w:val="18"/>
          <w:szCs w:val="18"/>
          <w:color w:val="auto"/>
        </w:rPr>
        <w:t xml:space="preserve">, the Company (or its successor) shall deliver or cause to be delivered to the Holder by mail or wire transfer the Change of Control Purchase Price of such Holder’s shares of Series A Preferred Stock. Until a share of Series A Preferred Stock is purchased by the payment in full of the applicable Change of Control Purchase Price, such share of Series A Preferred Stock will remain outstanding and will be entitled to all of the powers, designations, preferences and other rights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shares of Series A Preferred Stock may be converted into shares of Common Stock following the Change of Control Effective Date.</w:t>
      </w:r>
    </w:p>
    <w:p>
      <w:pPr>
        <w:spacing w:after="0" w:line="187" w:lineRule="exact"/>
        <w:rPr>
          <w:rFonts w:ascii="Times New Roman" w:cs="Times New Roman" w:eastAsia="Times New Roman" w:hAnsi="Times New Roman"/>
          <w:sz w:val="18"/>
          <w:szCs w:val="18"/>
          <w:color w:val="auto"/>
        </w:rPr>
      </w:pPr>
    </w:p>
    <w:p>
      <w:pPr>
        <w:ind w:right="400" w:firstLine="656"/>
        <w:spacing w:after="0" w:line="266" w:lineRule="auto"/>
        <w:tabs>
          <w:tab w:leader="none" w:pos="14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Exercise of Change of Control Put</w:t>
      </w:r>
      <w:r>
        <w:rPr>
          <w:rFonts w:ascii="Times New Roman" w:cs="Times New Roman" w:eastAsia="Times New Roman" w:hAnsi="Times New Roman"/>
          <w:sz w:val="18"/>
          <w:szCs w:val="18"/>
          <w:color w:val="auto"/>
        </w:rPr>
        <w:t>. In the event that a Change of Control Put is effected with respect to shares of Series A Preferred Stock representing less than all the shares of Series A Preferred Stock held by a Holder, promptly following such Change of Control Put, the Company shall reflect in the Register the remaining shares of Series A Preferred Stock held by such Holder.</w:t>
      </w:r>
    </w:p>
    <w:p>
      <w:pPr>
        <w:spacing w:after="0" w:line="175" w:lineRule="exact"/>
        <w:rPr>
          <w:rFonts w:ascii="Times New Roman" w:cs="Times New Roman" w:eastAsia="Times New Roman" w:hAnsi="Times New Roman"/>
          <w:sz w:val="18"/>
          <w:szCs w:val="18"/>
          <w:color w:val="auto"/>
        </w:rPr>
      </w:pPr>
    </w:p>
    <w:p>
      <w:pPr>
        <w:ind w:right="20" w:firstLine="656"/>
        <w:spacing w:after="0" w:line="252" w:lineRule="auto"/>
        <w:tabs>
          <w:tab w:leader="none" w:pos="13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xml:space="preserve">. If the Company shall not have sufficient funds legally available under the DGCL to purchase all shares of Series A Preferred Stock that Holders have requested to be purchased under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Required Number of Shares</w:t>
      </w:r>
      <w:r>
        <w:rPr>
          <w:rFonts w:ascii="Times New Roman" w:cs="Times New Roman" w:eastAsia="Times New Roman" w:hAnsi="Times New Roman"/>
          <w:sz w:val="18"/>
          <w:szCs w:val="18"/>
          <w:color w:val="auto"/>
        </w:rPr>
        <w:t xml:space="preserve">”), the Company shall (i) purchase, pro rata among the Holders that have requested their shares be purchased pursuant to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 number of shares of Series A Preferred Stock with an aggregate Change of Control Purchase Price equal to the amount legally available for the purchase of shares of Series A Preferred Stock under the DGCL and (ii) purchase any shares of Series A Preferred Stock not purchased because of the foregoing limitations at the applicable Change of Control Purchase Price as soon as practicable after the Company is able to make such purchase out of assets legally available for the purchase of such share of Series A Preferred Stock. The inability of the Company (or its successor and assigns) to make a purchase payment for any reason shall not relieve the Company (or its successor and assigns) from its obligation to effect any required purchase when, as and if permitted by applicable law. If the Company fails to pay the Change of Control Purchase Price in full when due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respect of some or all of the shares or Series A Preferred Stock to be repurchased pursuant to the Change of Control Put, the Company will pay Preferred Dividends on such shares not repurchased at the then applicable Dividend Rate per annum until such shares are repurchased, payable quarterly in arrears on each Preferred Dividend Payment Date, for the period from and including the Initial Dividend Payment Date (or the Issuance Date, as applicable) upon which the Company fails to pay the Change of Control Purchase Price in full when due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through but not including the latest of the day upon which the Company pays the Change of Control Purchase Price in full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Notwithstanding the foregoing, in the event a Holder exercises a Change of Control Put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at a time when the Company is restricted or prohibited (contractually or otherwise) from redeeming some or all of the Series A Preferred Stock subject to the Change of Control Put, the Company will use its commercially reasonable efforts to obtain the requisite consents to remove or obtain an exception or waiver to such restrictions or prohibition. Nothing herein shall limit a Holder’s right to pursue any other remedies available to it hereunder, at law or in equity, including, without limitation, a decree of specific performance and/or injunctive relief with respect to the Company’s failure to comply with its obligations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ind w:firstLine="656"/>
        <w:spacing w:after="0" w:line="254" w:lineRule="auto"/>
        <w:tabs>
          <w:tab w:leader="none" w:pos="13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Agreements</w:t>
      </w:r>
      <w:r>
        <w:rPr>
          <w:rFonts w:ascii="Times New Roman" w:cs="Times New Roman" w:eastAsia="Times New Roman" w:hAnsi="Times New Roman"/>
          <w:sz w:val="18"/>
          <w:szCs w:val="18"/>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in a manner that is consistent with and gives effect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the acquiring or surviving Person in such Change of Control represents or covenants, in form and substance reasonably satisfactory to the Board acting in good faith, that at the closing of such Change of Control, to the effect that such Person shall have sufficient funds (which may include, without limitation, cash and cash equivalents on the Company’s balance sheet, the proceeds of any debt or equity financing, available lines of credit or uncalled capital commitments) to consummate such Change of Control and effect the Satisfaction of Indebtedness Obligations and the payment of the Change of Control Purchase Price in respect of all shares of Series A Preferred Stock that have not been converted into Common Stock prior to the Change of Control Effective Date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as applicable.</w:t>
      </w:r>
    </w:p>
    <w:p>
      <w:pPr>
        <w:spacing w:after="0" w:line="188" w:lineRule="exact"/>
        <w:rPr>
          <w:rFonts w:ascii="Times New Roman" w:cs="Times New Roman" w:eastAsia="Times New Roman" w:hAnsi="Times New Roman"/>
          <w:sz w:val="18"/>
          <w:szCs w:val="18"/>
          <w:color w:val="auto"/>
        </w:rPr>
      </w:pPr>
    </w:p>
    <w:p>
      <w:pPr>
        <w:ind w:right="80" w:firstLine="656"/>
        <w:spacing w:after="0" w:line="261" w:lineRule="auto"/>
        <w:tabs>
          <w:tab w:leader="none" w:pos="13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Notwithstanding anything to the contrary herein, in the event that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would operate to limit the number of shares of Common Stock that a Holder may receive upon exercise of its Optional Conversion right in connection with a Change of Control, such Holder shall be entitled to exercise its Optional Conversion right to receive the proceeds (as opposed to a right to receive shares of Common Stock) of the Change of Control on its Series A Preferred Stock as converted to Common Stock without regard to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The Conversion Rate will be subject to adjustment, without duplication, upon the occurrence of the following events, except that the Company shall not make any adjustment to the Conversion Rate if Holders of the Series A Preferred Stock participate, at the same time and upon the same terms as holders of Common Stock and solely as a result of holding shares of Series A Preferred Stock, in any transaction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without having to convert their Series A Preferred Stock, as if they held a number of shares of Common Stock equal to the Conversion Rate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the number of shares of Series A Preferred Stock held by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7" w:name="page28"/>
    <w:bookmarkEnd w:id="27"/>
    <w:p>
      <w:pPr>
        <w:ind w:right="120" w:firstLine="1304"/>
        <w:spacing w:after="0" w:line="266" w:lineRule="auto"/>
        <w:tabs>
          <w:tab w:leader="none" w:pos="19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as a dividend or distribution to all or substantially all holders of Common Stock, or a subdivision or combination (including, without limitation, a stock split or a reverse stock split) of Common Stock or a reclassification of Common Stock into a greater or lesser number of shares of Common Stock, in which event the Conversion Rate shall be adjusted based on the following formula:</w:t>
      </w:r>
    </w:p>
    <w:p>
      <w:pPr>
        <w:spacing w:after="0" w:line="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36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(i) the close of business on (i) the Record Date for such dividend or distribution or (ii) the effective date of such subdivision, combination or reclassification;</w:t>
      </w:r>
    </w:p>
    <w:p>
      <w:pPr>
        <w:spacing w:after="0" w:line="2" w:lineRule="exact"/>
        <w:rPr>
          <w:sz w:val="20"/>
          <w:szCs w:val="20"/>
          <w:color w:val="auto"/>
        </w:rPr>
      </w:pPr>
    </w:p>
    <w:p>
      <w:pPr>
        <w:ind w:left="660" w:right="22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new Conversion Rate in effect immediately after (i) the close of business on (i) the Record Date for such dividend or distribution or (ii) the effective date of such subdivision, combination or reclassification;</w:t>
      </w:r>
    </w:p>
    <w:p>
      <w:pPr>
        <w:spacing w:after="0" w:line="2" w:lineRule="exact"/>
        <w:rPr>
          <w:sz w:val="20"/>
          <w:szCs w:val="20"/>
          <w:color w:val="auto"/>
        </w:rPr>
      </w:pPr>
    </w:p>
    <w:p>
      <w:pPr>
        <w:ind w:left="660"/>
        <w:spacing w:after="0" w:line="293"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close of business on (i) the Record Date for such dividend or distribution or (ii) the effective date of such subdivision, combination or reclassification; and</w:t>
      </w:r>
    </w:p>
    <w:p>
      <w:pPr>
        <w:spacing w:after="0" w:line="2" w:lineRule="exact"/>
        <w:rPr>
          <w:sz w:val="20"/>
          <w:szCs w:val="20"/>
          <w:color w:val="auto"/>
        </w:rPr>
      </w:pPr>
    </w:p>
    <w:p>
      <w:pPr>
        <w:ind w:left="660" w:right="360"/>
        <w:spacing w:after="0" w:line="301"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number of shares of Common Stock that would be outstanding immediately after, and solely as a result of, the completion of such dividend, distribution, subdivision, combination or reclassification.</w:t>
      </w:r>
    </w:p>
    <w:p>
      <w:pPr>
        <w:spacing w:after="0" w:line="11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Any adjustment made pursuant to this Section 10(a)(i) shall be effective immediately after the close of business on (A) the Record Date for such dividend or distribution or (B) the effective date of such subdivision, combination or reclassification. If any such dividend, distribution, subdivision, combination or reclassification is announced or declared but does not occur, the Conversion Rate shall be readjusted, effective as of the date the Board announces that such dividend, distribution, subdivision, combination or reclassification shall not occur to the Conversion Rate that would then be in effect if such dividend, distribution, subdivision, combination or reclassification had not been declared.</w:t>
      </w:r>
    </w:p>
    <w:p>
      <w:pPr>
        <w:spacing w:after="0" w:line="183" w:lineRule="exact"/>
        <w:rPr>
          <w:sz w:val="20"/>
          <w:szCs w:val="20"/>
          <w:color w:val="auto"/>
        </w:rPr>
      </w:pPr>
    </w:p>
    <w:p>
      <w:pPr>
        <w:ind w:right="80" w:firstLine="1304"/>
        <w:spacing w:after="0" w:line="258" w:lineRule="auto"/>
        <w:tabs>
          <w:tab w:leader="none" w:pos="19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dividend, distribution or other issuance to all or substantially all holders of Common Stock of rights (other than rights, options or warrants distributed in connection with a stockholder rights plan (in which event the provisions of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 xml:space="preserve"> shall apply)), options or warrants entitling them to subscribe for or purchase shares of Common Stock for a period expiring forty-five (45) days or less from the date of issuance thereof, at a price per share that is less than the Current Market Price as of the Record Date for such issuance, in which event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+X)] /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+Y)</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64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distribution or other issuance;</w:t>
      </w:r>
    </w:p>
    <w:p>
      <w:pPr>
        <w:spacing w:after="0" w:line="2" w:lineRule="exact"/>
        <w:rPr>
          <w:sz w:val="20"/>
          <w:szCs w:val="20"/>
          <w:color w:val="auto"/>
        </w:rPr>
      </w:pPr>
    </w:p>
    <w:p>
      <w:pPr>
        <w:ind w:left="660" w:right="500"/>
        <w:spacing w:after="0" w:line="293"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distribution or other issuance;</w:t>
      </w:r>
    </w:p>
    <w:p>
      <w:pPr>
        <w:spacing w:after="0" w:line="2" w:lineRule="exact"/>
        <w:rPr>
          <w:sz w:val="20"/>
          <w:szCs w:val="20"/>
          <w:color w:val="auto"/>
        </w:rPr>
      </w:pPr>
    </w:p>
    <w:p>
      <w:pPr>
        <w:ind w:left="660" w:right="500"/>
        <w:spacing w:after="0" w:line="301"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close of business on the Record Date for such dividend, distribution or other issuance;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 the total number of shares of Common Stock issuable pursuant to such rights, options or warrants; and</w:t>
      </w:r>
    </w:p>
    <w:p>
      <w:pPr>
        <w:spacing w:after="0" w:line="225"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Y = the number of shares of Common Stock equal to the aggregate price payable to exercise such rights, options or warrants divided by the Current Market Price as of the Record Date for such dividend, distribution or other issuance.</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10(a)(ii), in determining whether any rights, options or warrants entitle the holders to purchase the Common Stock at a price per share that is less than the Current Market Price as of the Record Date for such dividend, distribution or issuance, there shall be taken into account any consideration the Company receives for such rights, options or warrants, and any amount payable on exercise thereof, with the value of such consideration, if other than cash, to be the Fair Market Value thereof.</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adjustment made pursuant to this Section 10(a)(ii) shall become effective immediately following the close of business on the Record Date for such dividend, distribution or other issuance. In the event that such rights, options or warrants are not so issued, the Conversion Rate shall be readjusted, effective as of the date the Board publicly announced its decision not to issue such rights, options or warrants to the Conversion Rate that would then be in effect if such dividend, distribution or issuance had not been declared. To the extent that such rights, options or warrants are not exercised prior to their expiration or shares of Common Stock are otherwise not delivered pursuant to such rights, options or warrants upon the exercise of such rights, options or warrants, the Conversion Rate shall be readjusted to the Conversion Rate that would then be in effect had the adjustments made upon the dividend, distribution or other issuance of such rights, options or warrants been made on the basis of the delivery of only the number of shares of Common Stock actually delivered.</w:t>
      </w:r>
    </w:p>
    <w:p>
      <w:pPr>
        <w:spacing w:after="0" w:line="192" w:lineRule="exact"/>
        <w:rPr>
          <w:sz w:val="20"/>
          <w:szCs w:val="20"/>
          <w:color w:val="auto"/>
        </w:rPr>
      </w:pPr>
    </w:p>
    <w:p>
      <w:pPr>
        <w:ind w:firstLine="1304"/>
        <w:spacing w:after="0" w:line="253" w:lineRule="auto"/>
        <w:tabs>
          <w:tab w:leader="none" w:pos="21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one or more of its Subsidiaries purchases Common Stock pursuant to a tender offer or exchange offer (other than an exchange offer that constitutes a Distribution Transaction subject to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by the Company or a Subsidiary of the Company for all or any portion of the Common Stock, or otherwise acquires Common Stock (except (A) in an open market purchase in compliance with Rule 10b-18 promulgated under the Exchange Act, (B) through an “accelerated share repurchase” on customary terms or (C) in connection with tax withholding upon vesting or settlement of options, restricted stock units, performance share units or other similar equity awards or upon forfeiture or cashless exercise of options or other equity awards) (a “</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if the cash and value of any other consideration included in the payment per share of Common Stock validly tendered, exchanged or otherwise acquired through a Covered Repurchase exceeds the arithmetic average of the VWAP per share of Common Stock for each of the ten (10) consecutive full Trading Days commencing on, and including, the Trading Day next succeeding the last day on which tenders or exchanges may be made pursuant to such tender or exchange offer (as it may be amended) or shares of Common Stock are otherwise acquired through a Covered Repurchase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in which event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8"/>
          <w:szCs w:val="18"/>
          <w:color w:val="auto"/>
        </w:rPr>
        <w:t>CR1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[(FMV + (SP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 (SP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x 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2980"/>
        <w:spacing w:after="0" w:line="473"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Expiration Date; 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Expiration Date;</w:t>
      </w: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FMV = the Fair Market Value, on the Expiration Date, of all cash and any other consideration paid or payable for all shares validly tendered or exchanged and not withdrawn, or otherwise acquired through a Covered Repurchase, as of the Expiration Date;</w:t>
      </w:r>
    </w:p>
    <w:p>
      <w:pPr>
        <w:spacing w:after="0" w:line="32"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number of shares of Common Stock outstanding immediately prior to the last time tenders or exchanges may be made pursuant to such tender or exchange offer (including the shares to be purchased in such tender or exchange offer) or shares are otherwise acquired through a Covered Repurchase;</w:t>
      </w:r>
    </w:p>
    <w:p>
      <w:pPr>
        <w:spacing w:after="0" w:line="46"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number of shares of Common Stock outstanding immediately after the last time tenders or exchanges may be made pursuant to such tender or exchange offer (after giving effect to the purchase of shares in such tender or exchange offer) or shares are otherwise acquired through a Covered Repurchase; and</w:t>
      </w:r>
    </w:p>
    <w:p>
      <w:pPr>
        <w:spacing w:after="0" w:line="46" w:lineRule="exact"/>
        <w:rPr>
          <w:sz w:val="20"/>
          <w:szCs w:val="20"/>
          <w:color w:val="auto"/>
        </w:rPr>
      </w:pPr>
    </w:p>
    <w:p>
      <w:pPr>
        <w:ind w:left="660" w:right="200"/>
        <w:spacing w:after="0" w:line="301" w:lineRule="auto"/>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arithmetic average of the VWAP per share of Common Stock for each of the ten (10) consecutive full Trading Days commencing on, and including, the Trading Day next succeeding the Expiration Date.</w:t>
      </w:r>
    </w:p>
    <w:p>
      <w:pPr>
        <w:spacing w:after="0" w:line="11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after the close of business on the Expiration Date. If an adjustment to the Conversion Rate is required under this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 xml:space="preserve">, delivery of any additional shares of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 xml:space="preserve"> shall be delayed to the extent necessary in order to complete the calculations provided for in this </w:t>
      </w:r>
      <w:r>
        <w:rPr>
          <w:rFonts w:ascii="Times New Roman" w:cs="Times New Roman" w:eastAsia="Times New Roman" w:hAnsi="Times New Roman"/>
          <w:sz w:val="18"/>
          <w:szCs w:val="18"/>
          <w:u w:val="single" w:color="auto"/>
          <w:color w:val="auto"/>
        </w:rPr>
        <w:t>Section 10(a)(iii)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Company or any of its Subsidiaries is obligated to purchase Common Stock pursuant to any such tender offer, exchange offer or other commitment to acquire shares of Common Stock through a Covered Repurchase but is permanently prevented by applicable law from effecting any such purchases, or all such purchases are rescinded, then the Conversion Rate shall be readjusted to be the Conversion Rate that would have been then in effect if such tender offer, exchange offer or Covered Repurchase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75" w:right="419" w:bottom="1440" w:gutter="0" w:footer="0" w:header="0"/>
        </w:sectPr>
      </w:pPr>
    </w:p>
    <w:bookmarkStart w:id="30" w:name="page31"/>
    <w:bookmarkEnd w:id="30"/>
    <w:p>
      <w:pPr>
        <w:jc w:val="both"/>
        <w:ind w:right="220" w:firstLine="1304"/>
        <w:spacing w:after="0" w:line="261" w:lineRule="auto"/>
        <w:tabs>
          <w:tab w:leader="none" w:pos="18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by dividend or otherwise, distribute to all or substantially all holders of its Common Stock (other than for cash in lieu of fractional shares), shares of any class of its Capital Stock, evidences of its indebtedness, assets, other property or securities, but excluding</w:t>
      </w: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referred to in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hereof; (B) Distribution Transactions as to which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shall</w:t>
      </w:r>
    </w:p>
    <w:p>
      <w:pPr>
        <w:spacing w:after="0" w:line="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(C) dividends or distributions paid exclusively in cash; and (D) rights, options or warrants distributed in connection with a stockholder rights plan as to which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 xml:space="preserve"> shall apply (any of such shares of its Capital Stock, indebtedness, assets or property that are not so excluded are hereinafter called the “</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then, in each such case the Conversion Rate shall be adjusted based on the following formula:</w:t>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FMV)]</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880"/>
        <w:spacing w:after="0" w:line="342" w:lineRule="auto"/>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Conversion Rate in effect immediately prior to the close of business on the Record Date for such dividend or distribution; 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the new Conversion Rate in effect immediately after the close of business on the Record Date for such dividend or distribution;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Current Market Price as of the Record Date for such dividend or distribution; and</w:t>
      </w:r>
    </w:p>
    <w:p>
      <w:pPr>
        <w:spacing w:after="0" w:line="40" w:lineRule="exact"/>
        <w:rPr>
          <w:sz w:val="20"/>
          <w:szCs w:val="20"/>
          <w:color w:val="auto"/>
        </w:rPr>
      </w:pPr>
    </w:p>
    <w:p>
      <w:pPr>
        <w:ind w:left="660" w:right="140"/>
        <w:spacing w:after="0" w:line="255" w:lineRule="auto"/>
        <w:rPr>
          <w:sz w:val="20"/>
          <w:szCs w:val="20"/>
          <w:color w:val="auto"/>
        </w:rPr>
      </w:pPr>
      <w:r>
        <w:rPr>
          <w:rFonts w:ascii="Times New Roman" w:cs="Times New Roman" w:eastAsia="Times New Roman" w:hAnsi="Times New Roman"/>
          <w:sz w:val="18"/>
          <w:szCs w:val="18"/>
          <w:color w:val="auto"/>
        </w:rPr>
        <w:t xml:space="preserve">FMV = the Fair Market Value of the portion of Distributed Property distributed with respect to each outstanding share of Common Stock on the Record Date for such dividend or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FMV is equal or greater than SP0, then in lieu of the foregoing adjustment, the Company shall distribute to each holder of Series A Preferred Stock on the date the applicable Distributed Property is distributed to holders of Common Stock, but without requiring such holder to convert its shares of Series A Preferred Stock, in respect of each share of Series A Preferred Stock held by such holder, the amount of Distributed Property such holder would have received had such holder owned a number of shares of Common Stock equal to the Conversion Rate on the Record Date for such dividend or distribution; provided, that such holder’s receipt or ownership of such Distributed Property is not otherwise limited or prohibited by the provisions hereof.</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adjustment made pursuant to this Section 10(a)(iv) shall be effective immediately after the close of business on the Record Date for such dividend or distribution. If any such dividend or distribution is declared but does not occur, the Conversion Rate shall be readjusted, effective as of the date the Board announces that such dividend or distribution shall not occur to the Conversion Rate that would then be in effect if such dividend or distribution had not been declared.</w:t>
      </w:r>
    </w:p>
    <w:p>
      <w:pPr>
        <w:spacing w:after="0" w:line="180" w:lineRule="exact"/>
        <w:rPr>
          <w:sz w:val="20"/>
          <w:szCs w:val="20"/>
          <w:color w:val="auto"/>
        </w:rPr>
      </w:pPr>
    </w:p>
    <w:p>
      <w:pPr>
        <w:ind w:firstLine="1304"/>
        <w:spacing w:after="0" w:line="282" w:lineRule="auto"/>
        <w:tabs>
          <w:tab w:leader="none" w:pos="20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 Distribution Transaction, in which case the Conversion Rate in effect immediately prior to the effective date of the Distribution Transaction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CR</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x [(FMV + 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 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96" w:lineRule="exact"/>
        <w:rPr>
          <w:sz w:val="20"/>
          <w:szCs w:val="20"/>
          <w:color w:val="auto"/>
        </w:rPr>
      </w:pPr>
    </w:p>
    <w:p>
      <w:pPr>
        <w:ind w:left="660" w:right="940"/>
        <w:spacing w:after="0" w:line="473" w:lineRule="auto"/>
        <w:rPr>
          <w:sz w:val="20"/>
          <w:szCs w:val="20"/>
          <w:color w:val="auto"/>
        </w:rPr>
      </w:pPr>
      <w:r>
        <w:rPr>
          <w:rFonts w:ascii="Times New Roman" w:cs="Times New Roman" w:eastAsia="Times New Roman" w:hAnsi="Times New Roman"/>
          <w:sz w:val="17"/>
          <w:szCs w:val="17"/>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7"/>
          <w:szCs w:val="17"/>
          <w:color w:val="auto"/>
        </w:rPr>
        <w:t xml:space="preserve"> = the Conversion Rate in effect immediately prior to the close of business on the effective date of the Distribution Transaction; 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7"/>
          <w:szCs w:val="17"/>
          <w:color w:val="auto"/>
        </w:rPr>
        <w:t xml:space="preserve"> = the new Conversion Rate in effect immediately after the close of business on the effective date of the Distribution Transaction;</w:t>
      </w:r>
    </w:p>
    <w:p>
      <w:pPr>
        <w:ind w:left="660" w:right="160"/>
        <w:spacing w:after="0" w:line="255" w:lineRule="auto"/>
        <w:rPr>
          <w:sz w:val="20"/>
          <w:szCs w:val="20"/>
          <w:color w:val="auto"/>
        </w:rPr>
      </w:pPr>
      <w:r>
        <w:rPr>
          <w:rFonts w:ascii="Times New Roman" w:cs="Times New Roman" w:eastAsia="Times New Roman" w:hAnsi="Times New Roman"/>
          <w:sz w:val="18"/>
          <w:szCs w:val="18"/>
          <w:color w:val="auto"/>
        </w:rPr>
        <w:t>FMV = the arithmetic average of the volume-weighted average prices for a share of the capital stock or other interest distributed to holders of Common Stock on the principal United States securities exchange or automated quotation system on which such capital stock or other interest trades, as reported by Bloomberg (or, if Bloomberg ceases to publish such price, any successor service chosen by the Company) in respect of the period from the open of trading on the relevant Trading Day until the close of trading on such Trading Day (or if such volume-weighted average price is unavailable, the market price of one (1) share of such capital stock or other interest on such Trading Day determined, using a volume-weighted average method, by an Independent Financial Advisor retained for such purpose by the Company), for each of the ten (10) consecutive full Trading Days commencing with, and including, the effective date of the Distribution Transaction; and</w:t>
      </w:r>
    </w:p>
    <w:p>
      <w:pPr>
        <w:spacing w:after="0" w:line="59" w:lineRule="exact"/>
        <w:rPr>
          <w:sz w:val="20"/>
          <w:szCs w:val="20"/>
          <w:color w:val="auto"/>
        </w:rPr>
      </w:pPr>
    </w:p>
    <w:p>
      <w:pPr>
        <w:ind w:left="660" w:right="200"/>
        <w:spacing w:after="0" w:line="301" w:lineRule="auto"/>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 the arithmetic average of the VWAP per share of Common Stock for each of the ten (10) consecutive full Trading Days commencing on, and including, the effective date of the Distribution Transaction</w:t>
      </w:r>
    </w:p>
    <w:p>
      <w:pPr>
        <w:spacing w:after="0" w:line="11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Such adjustment shall become effective immediately following the close of business on the effective date of the Distribution Transaction. If an adjustment to the Conversion Rate is required under this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delivery of any additional shares of Common Stock that may be deliverable upon conversion as a result of an adjustment required under this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 xml:space="preserve"> shall be delayed only to the extent necessary in order to complete the calculations provided for in this </w:t>
      </w:r>
      <w:r>
        <w:rPr>
          <w:rFonts w:ascii="Times New Roman" w:cs="Times New Roman" w:eastAsia="Times New Roman" w:hAnsi="Times New Roman"/>
          <w:sz w:val="18"/>
          <w:szCs w:val="18"/>
          <w:u w:val="single" w:color="auto"/>
          <w:color w:val="auto"/>
        </w:rPr>
        <w:t>Section 10(a)(v)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80" w:firstLine="1304"/>
        <w:spacing w:after="0" w:line="257" w:lineRule="auto"/>
        <w:tabs>
          <w:tab w:leader="none" w:pos="191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stockholder rights plan in effect with respect to the Common Stock on any Conversion Date, upon conversion of any shares of the Series A Preferred Stock, Holders of such shares will receive, in addition to the applicable number of shares of Common Stock, the rights under such rights plan relating to such Common Stock, unless, prior to such Conversion Date, the rights have (A) become exercisable or</w:t>
      </w:r>
    </w:p>
    <w:p>
      <w:pPr>
        <w:spacing w:after="0" w:line="1" w:lineRule="exact"/>
        <w:rPr>
          <w:rFonts w:ascii="Times New Roman" w:cs="Times New Roman" w:eastAsia="Times New Roman" w:hAnsi="Times New Roman"/>
          <w:sz w:val="18"/>
          <w:szCs w:val="18"/>
          <w:color w:val="auto"/>
        </w:rPr>
      </w:pPr>
    </w:p>
    <w:p>
      <w:pPr>
        <w:ind w:firstLine="8"/>
        <w:spacing w:after="0" w:line="251" w:lineRule="auto"/>
        <w:tabs>
          <w:tab w:leader="none" w:pos="2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separated from the shares of Common Stock (the first of such events to occur, a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xml:space="preserve">”), in which case, the Conversion Rate will be adjusted, effective automatically at the time of such Trigger Event, as if the Company had made a distribution of such rights to all holders of the Company Common Stock as described in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(without giving effect to the forty-five (45)-day limit on the exercisability of rights, options or warrants ordinarily subject to such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subject to appropriate readjustment in the event of the expiration, termination or redemption of such rights prior to the exercise, deemed exercise or exchange thereof. Notwithstanding the foregoing, to the extent any such stockholder rights are exchanged by the Company for shares of Common Stock or other property or securities, the Conversion Rate shall be appropriately readjusted as if such stockholder rights had not been issued, but the Company had instead issued such shares of Common Stock or other property or securities as a dividend or distribution of shares of Common Stock pursuant to </w:t>
      </w:r>
      <w:r>
        <w:rPr>
          <w:rFonts w:ascii="Times New Roman" w:cs="Times New Roman" w:eastAsia="Times New Roman" w:hAnsi="Times New Roman"/>
          <w:sz w:val="18"/>
          <w:szCs w:val="18"/>
          <w:u w:val="single" w:color="auto"/>
          <w:color w:val="auto"/>
        </w:rPr>
        <w:t>Section 10(a)(i)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10(a)(iv)</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5" w:right="359" w:bottom="1440" w:gutter="0" w:footer="0" w:header="0"/>
        </w:sectPr>
      </w:pPr>
    </w:p>
    <w:bookmarkStart w:id="32" w:name="page33"/>
    <w:bookmarkEnd w:id="32"/>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such rights are not exercised prior to their expiration, termination or redemption, the Conversion Rate shall be readjusted to the Conversion Rate that would then be in effect had the adjustments made upon the occurrence of the Trigger Event been made on the basis of the issuance of, and the receipt of the exercise price with respect to, only the number of shares of Common Stock actually issued pursuant to such rights.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10(a)(vi)</w:t>
      </w:r>
      <w:r>
        <w:rPr>
          <w:rFonts w:ascii="Times New Roman" w:cs="Times New Roman" w:eastAsia="Times New Roman" w:hAnsi="Times New Roman"/>
          <w:sz w:val="18"/>
          <w:szCs w:val="18"/>
          <w:color w:val="auto"/>
        </w:rPr>
        <w:t>, no adjustment shall be required to be made to the Conversion Rate with respect to any Holder which is, or is an “affiliate” or “associate” of, an “acquiring person” under such stockholder rights plan or with respect to any direct or indirect transferee of such Holder who receives Series A Preferred Stock in such transfer after the time such Holder becomes, or its affiliate or associate becomes, such an “acquiring person.”</w:t>
      </w:r>
    </w:p>
    <w:p>
      <w:pPr>
        <w:spacing w:after="0" w:line="180" w:lineRule="exact"/>
        <w:rPr>
          <w:sz w:val="20"/>
          <w:szCs w:val="20"/>
          <w:color w:val="auto"/>
        </w:rPr>
      </w:pPr>
    </w:p>
    <w:p>
      <w:pPr>
        <w:ind w:left="1400" w:hanging="744"/>
        <w:spacing w:after="0"/>
        <w:tabs>
          <w:tab w:leader="none" w:pos="14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Adjustments</w:t>
      </w:r>
      <w:r>
        <w:rPr>
          <w:rFonts w:ascii="Times New Roman" w:cs="Times New Roman" w:eastAsia="Times New Roman" w:hAnsi="Times New Roman"/>
          <w:sz w:val="18"/>
          <w:szCs w:val="18"/>
          <w:color w:val="auto"/>
        </w:rPr>
        <w:t>. All adjustments to the Conversion Rate shall be calculated by the Company to the nearest 1/10,000th of one</w:t>
      </w:r>
    </w:p>
    <w:p>
      <w:pPr>
        <w:spacing w:after="0" w:line="27" w:lineRule="exact"/>
        <w:rPr>
          <w:rFonts w:ascii="Times New Roman" w:cs="Times New Roman" w:eastAsia="Times New Roman" w:hAnsi="Times New Roman"/>
          <w:sz w:val="18"/>
          <w:szCs w:val="18"/>
          <w:color w:val="auto"/>
        </w:rPr>
      </w:pPr>
    </w:p>
    <w:p>
      <w:pPr>
        <w:ind w:right="340" w:firstLine="8"/>
        <w:spacing w:after="0" w:line="255"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of Common Stock (or if there is not a nearest 1/10,000th of a share, to the next lower 1/10,000th of a share). No adjustment to the Conversion Rate will be required, unless such adjustment would require an increase or decrease of at least one percent (1%) of the Conversion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adjustment that is not required to be made will be carried forward and taken into account in any subsequent adjustment.</w:t>
      </w:r>
    </w:p>
    <w:p>
      <w:pPr>
        <w:spacing w:after="0" w:line="185" w:lineRule="exact"/>
        <w:rPr>
          <w:rFonts w:ascii="Times New Roman" w:cs="Times New Roman" w:eastAsia="Times New Roman" w:hAnsi="Times New Roman"/>
          <w:sz w:val="18"/>
          <w:szCs w:val="18"/>
          <w:color w:val="auto"/>
        </w:rPr>
      </w:pPr>
    </w:p>
    <w:p>
      <w:pPr>
        <w:ind w:right="100" w:firstLine="656"/>
        <w:spacing w:after="0" w:line="266" w:lineRule="auto"/>
        <w:tabs>
          <w:tab w:leader="none" w:pos="13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xml:space="preserve">. (i) Except as otherwise provided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Conversion Rate will not be adjusted for the issuance of Common Stock or any securities convertible into or exchangeable for Common Stock or carrying the right to purchase any of the foregoing, or for the repurchase of Common Stock.</w:t>
      </w:r>
    </w:p>
    <w:p>
      <w:pPr>
        <w:spacing w:after="0" w:line="175" w:lineRule="exact"/>
        <w:rPr>
          <w:rFonts w:ascii="Times New Roman" w:cs="Times New Roman" w:eastAsia="Times New Roman" w:hAnsi="Times New Roman"/>
          <w:sz w:val="18"/>
          <w:szCs w:val="18"/>
          <w:color w:val="auto"/>
        </w:rPr>
      </w:pPr>
    </w:p>
    <w:p>
      <w:pPr>
        <w:ind w:right="400" w:firstLine="1304"/>
        <w:spacing w:after="0" w:line="266" w:lineRule="auto"/>
        <w:tabs>
          <w:tab w:leader="none" w:pos="1921"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Conversion Rate will not be adjusted as a result of the issuance of, the distribution of separate certificates representing, the exercise or redemption of, or the termination or invalidation of, rights pursuant to any stockholder rights plans.</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to the Conversion Rate will be made:</w:t>
      </w:r>
    </w:p>
    <w:p>
      <w:pPr>
        <w:spacing w:after="0" w:line="225" w:lineRule="exact"/>
        <w:rPr>
          <w:rFonts w:ascii="Times New Roman" w:cs="Times New Roman" w:eastAsia="Times New Roman" w:hAnsi="Times New Roman"/>
          <w:sz w:val="18"/>
          <w:szCs w:val="18"/>
          <w:color w:val="auto"/>
        </w:rPr>
      </w:pPr>
    </w:p>
    <w:p>
      <w:pPr>
        <w:ind w:right="60" w:firstLine="1952"/>
        <w:spacing w:after="0" w:line="261" w:lineRule="auto"/>
        <w:tabs>
          <w:tab w:leader="none" w:pos="2734"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securities of the Company and the investment of additional optional amounts in Common Stock under any plan in which purchases are made at market prices on the date or dates of purchase, without discount, and whether or not the Company bears the ordinary costs of administration and operation of the plan, including brokerage commissions;</w:t>
      </w:r>
    </w:p>
    <w:p>
      <w:pPr>
        <w:spacing w:after="0" w:line="179" w:lineRule="exact"/>
        <w:rPr>
          <w:rFonts w:ascii="Times New Roman" w:cs="Times New Roman" w:eastAsia="Times New Roman" w:hAnsi="Times New Roman"/>
          <w:sz w:val="18"/>
          <w:szCs w:val="18"/>
          <w:color w:val="auto"/>
        </w:rPr>
      </w:pPr>
    </w:p>
    <w:p>
      <w:pPr>
        <w:ind w:right="360" w:firstLine="1952"/>
        <w:spacing w:after="0" w:line="266" w:lineRule="auto"/>
        <w:tabs>
          <w:tab w:leader="none" w:pos="2724"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such shares pursuant to any present or future employee, director or consultant benefit plan or program of or assumed by the Company or any of its Subsidiaries or of any employee agreements or arrangements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56" w:right="900" w:firstLine="1952"/>
        <w:spacing w:after="0" w:line="282" w:lineRule="auto"/>
        <w:tabs>
          <w:tab w:leader="none" w:pos="20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option, warrant, right, or exercisable, exchangeable or convertible security; or</w:t>
      </w:r>
    </w:p>
    <w:p>
      <w:pPr>
        <w:spacing w:after="0" w:line="161" w:lineRule="exact"/>
        <w:rPr>
          <w:rFonts w:ascii="Times New Roman" w:cs="Times New Roman" w:eastAsia="Times New Roman" w:hAnsi="Times New Roman"/>
          <w:sz w:val="18"/>
          <w:szCs w:val="18"/>
          <w:color w:val="auto"/>
        </w:rPr>
      </w:pPr>
    </w:p>
    <w:p>
      <w:pPr>
        <w:ind w:left="2084" w:hanging="788"/>
        <w:spacing w:after="0"/>
        <w:tabs>
          <w:tab w:leader="none" w:pos="208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solely in the par value of the Common Stock.</w:t>
      </w:r>
    </w:p>
    <w:p>
      <w:pPr>
        <w:spacing w:after="0" w:line="225" w:lineRule="exact"/>
        <w:rPr>
          <w:rFonts w:ascii="Times New Roman" w:cs="Times New Roman" w:eastAsia="Times New Roman" w:hAnsi="Times New Roman"/>
          <w:sz w:val="18"/>
          <w:szCs w:val="18"/>
          <w:color w:val="auto"/>
        </w:rPr>
      </w:pPr>
    </w:p>
    <w:p>
      <w:pPr>
        <w:ind w:left="-656" w:right="660" w:firstLine="656"/>
        <w:spacing w:after="0" w:line="282" w:lineRule="auto"/>
        <w:tabs>
          <w:tab w:leader="none" w:pos="7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Adjustments</w:t>
      </w:r>
      <w:r>
        <w:rPr>
          <w:rFonts w:ascii="Times New Roman" w:cs="Times New Roman" w:eastAsia="Times New Roman" w:hAnsi="Times New Roman"/>
          <w:sz w:val="18"/>
          <w:szCs w:val="18"/>
          <w:color w:val="auto"/>
        </w:rPr>
        <w:t xml:space="preserve">. After an adjustment to the Conversion Rate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any subsequent event requiring an adjustment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cause an adjustment to each such Conversion Rate as so adjusted.</w:t>
      </w:r>
    </w:p>
    <w:p>
      <w:pPr>
        <w:spacing w:after="0" w:line="161" w:lineRule="exact"/>
        <w:rPr>
          <w:rFonts w:ascii="Times New Roman" w:cs="Times New Roman" w:eastAsia="Times New Roman" w:hAnsi="Times New Roman"/>
          <w:sz w:val="18"/>
          <w:szCs w:val="18"/>
          <w:color w:val="auto"/>
        </w:rPr>
      </w:pPr>
    </w:p>
    <w:p>
      <w:pPr>
        <w:ind w:left="-656" w:right="40" w:firstLine="656"/>
        <w:spacing w:after="0" w:line="261" w:lineRule="auto"/>
        <w:tabs>
          <w:tab w:leader="none" w:pos="7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Adjustments</w:t>
      </w:r>
      <w:r>
        <w:rPr>
          <w:rFonts w:ascii="Times New Roman" w:cs="Times New Roman" w:eastAsia="Times New Roman" w:hAnsi="Times New Roman"/>
          <w:sz w:val="18"/>
          <w:szCs w:val="18"/>
          <w:color w:val="auto"/>
        </w:rPr>
        <w:t xml:space="preserve">. For the avoidance of doubt, if an event occurs that would trigger an adjustment to the Conversion Rate pursuant to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under more than one subsection hereof, such event, to the extent fully taken into account in a single adjustment, shall not result in multiple adjustments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more than one subsection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to a single event, the subsection shall be applied that produces the largest adjustment.</w:t>
      </w:r>
    </w:p>
    <w:p>
      <w:pPr>
        <w:spacing w:after="0" w:line="179" w:lineRule="exact"/>
        <w:rPr>
          <w:rFonts w:ascii="Times New Roman" w:cs="Times New Roman" w:eastAsia="Times New Roman" w:hAnsi="Times New Roman"/>
          <w:sz w:val="18"/>
          <w:szCs w:val="18"/>
          <w:color w:val="auto"/>
        </w:rPr>
      </w:pPr>
    </w:p>
    <w:p>
      <w:pPr>
        <w:ind w:left="-656" w:right="120" w:firstLine="656"/>
        <w:spacing w:after="0" w:line="266" w:lineRule="auto"/>
        <w:tabs>
          <w:tab w:leader="none" w:pos="7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Whenever the Conversion Rate is adjusted as provided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the Company shall as soon as reasonably practicable following the occurrence of an event that requires such adjustment (or if the Company is not aware of such occurrence, as soon as reasonably practicable after becoming so aware) or the date the Company makes an adjustment pursuant to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compute the adjusted applicable Conversion Rate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56" w:firstLine="1304"/>
        <w:spacing w:after="0" w:line="253" w:lineRule="auto"/>
        <w:tabs>
          <w:tab w:leader="none" w:pos="12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event that the Company shall give notice or make a public announcement to the holders of Common Stock of any action of the type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(but only if the action of the type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would result in an adjustment to the Conversion Price or a change in the type of securities or property to be delivered upon conversion of the Series A Preferred Stock), the Company shall, at the time of such notice or announcement, and in the case of any action that would require the fixing of a record date, at least ten (10) days prior to such record date, give notice to each Holder by mail, first-class postage prepaid, at the address appearing in the Register, which notice shall specify the record date, if any, with respect to any such action, the approximate date on which such action is to take place and the facts with respect to such action as shall be reasonably necessary to indicate the effect on the Conversion Price and the number, kind or class of shares or other securities or property, which shall be deliverable upon conversion or redemption of the Series A Preferred Stock or (B) in the event that the Company does not give notice or make a public announcement as set forth in Section 10(f)(ii)(A), the Company shall, as soon as practicable following the occurrence of an event that requires an adjustment to the Conversion Price pursuant to one or more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(or if the Company is not aware of such occurrence, as soon as practicable after becoming so aware), provide, or cause to be provided, a written notice to the Holders of the occurrence of such event, in the same manner and with the same detail as the notice set forth in Section 10(f)(ii)(A);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4"/>
          </w:cols>
          <w:pgMar w:left="976" w:top="904" w:right="439" w:bottom="1440" w:gutter="0" w:footer="0" w:header="0"/>
        </w:sectPr>
      </w:pPr>
    </w:p>
    <w:bookmarkStart w:id="34" w:name="page35"/>
    <w:bookmarkEnd w:id="34"/>
    <w:p>
      <w:pPr>
        <w:ind w:right="240" w:firstLine="1304"/>
        <w:spacing w:after="0" w:line="258" w:lineRule="auto"/>
        <w:tabs>
          <w:tab w:leader="none" w:pos="19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Conversion Price shall be adjusted pursuant to one or more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Company shall, as soon as practicable following the determination of the revised Conversion Price, (A) file at the principal office of the Company, a statement showing in reasonable detail the facts requiring such adjustment, the Conversion Price that shall be in effect after such adjustment and the method by which the adjustment to the Conversion Price was determined and (B) cause a copy of such statement to be sent in the manner set forth in Section (10) (f)(ii)(A) to each Holder.</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Adjustment for Reorganization Events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00" w:hanging="74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 In the event of:</w:t>
      </w:r>
    </w:p>
    <w:p>
      <w:pPr>
        <w:spacing w:after="0" w:line="225" w:lineRule="exact"/>
        <w:rPr>
          <w:rFonts w:ascii="Times New Roman" w:cs="Times New Roman" w:eastAsia="Times New Roman" w:hAnsi="Times New Roman"/>
          <w:sz w:val="18"/>
          <w:szCs w:val="18"/>
          <w:color w:val="auto"/>
        </w:rPr>
      </w:pPr>
    </w:p>
    <w:p>
      <w:pPr>
        <w:ind w:right="300" w:firstLine="1304"/>
        <w:spacing w:after="0" w:line="266" w:lineRule="auto"/>
        <w:tabs>
          <w:tab w:leader="none" w:pos="19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statutory exchange, merger, consolidation or other similar business combination of the Company with or into another Person, in each case, pursuant to which at least a majority of the total voting power of the Voting Stock of the Company is changed or converted into, or exchanged for, cash, securities or other property of the Company or another Person;</w:t>
      </w:r>
    </w:p>
    <w:p>
      <w:pPr>
        <w:spacing w:after="0" w:line="175" w:lineRule="exact"/>
        <w:rPr>
          <w:rFonts w:ascii="Times New Roman" w:cs="Times New Roman" w:eastAsia="Times New Roman" w:hAnsi="Times New Roman"/>
          <w:sz w:val="18"/>
          <w:szCs w:val="18"/>
          <w:color w:val="auto"/>
        </w:rPr>
      </w:pPr>
    </w:p>
    <w:p>
      <w:pPr>
        <w:ind w:right="320" w:firstLine="1304"/>
        <w:spacing w:after="0" w:line="282" w:lineRule="auto"/>
        <w:tabs>
          <w:tab w:leader="none" w:pos="192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or conveyance to another Person of all or substantially all the property and assets of the Company, in each case pursuant to which the Common Stock is converted into cash, securities or other property; or</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92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other than, in each case, any such transaction that constitutes a Change of Control, with respect to which, for the avoidance of doubt,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apply (each of which is referred to as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xml:space="preserve">”), each share of Series A Preferred Stock outstanding immediately prior to such Reorganization Event will, without the consent of the Holders and subject to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remain outstanding but shall become convertible into, out of funds legally available therefor, the number, kind and amount of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xml:space="preserve">”) (without any interest on such Exchange Property and without any right to dividends or distribution on such Exchange Property which have a record date that is prior to the applicable Conversion Date) that the Holder of such share of Series A Preferred Stock would have received in such Reorganization Event had such Holder converted its shares of Series A Preferred Stock into the applicable number of shares of Common Stock immediately prior to the effective date of the Reorganization Event using the Conversion Rate applicable immediately prior to the effective date of the Reorganization Event and the Liquidation Preference applicable at the time of such subsequent conversion;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upon such Reorganization Event is not the same for each share of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the kind and amount of securities, cash and other property receivable upon conversion following such Reorganization Event will be deemed to be the weighted average of the types and amounts of consideration received by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 w:name="page36"/>
    <w:bookmarkEnd w:id="35"/>
    <w:p>
      <w:pPr>
        <w:ind w:left="744" w:hanging="744"/>
        <w:spacing w:after="0"/>
        <w:tabs>
          <w:tab w:leader="none" w:pos="7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Successive Reorganization Events</w:t>
      </w:r>
      <w:r>
        <w:rPr>
          <w:rFonts w:ascii="Times New Roman" w:cs="Times New Roman" w:eastAsia="Times New Roman" w:hAnsi="Times New Roman"/>
          <w:sz w:val="18"/>
          <w:szCs w:val="18"/>
          <w:color w:val="auto"/>
        </w:rPr>
        <w:t xml:space="preserve">. The above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similarly apply to successive Reorganization Events.</w:t>
      </w:r>
    </w:p>
    <w:p>
      <w:pPr>
        <w:spacing w:after="0" w:line="225" w:lineRule="exact"/>
        <w:rPr>
          <w:rFonts w:ascii="Times New Roman" w:cs="Times New Roman" w:eastAsia="Times New Roman" w:hAnsi="Times New Roman"/>
          <w:sz w:val="18"/>
          <w:szCs w:val="18"/>
          <w:color w:val="auto"/>
        </w:rPr>
      </w:pPr>
    </w:p>
    <w:p>
      <w:pPr>
        <w:ind w:left="-656" w:right="120" w:firstLine="656"/>
        <w:spacing w:after="0" w:line="266" w:lineRule="auto"/>
        <w:tabs>
          <w:tab w:leader="none" w:pos="7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Notice</w:t>
      </w:r>
      <w:r>
        <w:rPr>
          <w:rFonts w:ascii="Times New Roman" w:cs="Times New Roman" w:eastAsia="Times New Roman" w:hAnsi="Times New Roman"/>
          <w:sz w:val="18"/>
          <w:szCs w:val="18"/>
          <w:color w:val="auto"/>
        </w:rPr>
        <w:t xml:space="preserve">. The Company (or any successor and assigns)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56" w:right="40" w:firstLine="656"/>
        <w:spacing w:after="0" w:line="256" w:lineRule="auto"/>
        <w:tabs>
          <w:tab w:leader="none" w:pos="7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 Agreements</w:t>
      </w:r>
      <w:r>
        <w:rPr>
          <w:rFonts w:ascii="Times New Roman" w:cs="Times New Roman" w:eastAsia="Times New Roman" w:hAnsi="Times New Roman"/>
          <w:sz w:val="18"/>
          <w:szCs w:val="18"/>
          <w:color w:val="auto"/>
        </w:rPr>
        <w:t xml:space="preserve">. The Company shall not enter into any agreement for a transaction constituting a Reorganization Event, unless (i) such agreement provides for or does not interfere with or prevent (as applicable) conversion of the Series A Preferred Stock into the Exchange Property in a manner that is consistent with and gives effect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and (ii) to the extent that the Company is not the surviving corporation in such Reorganization Event or will be dissolved in connection with such Reorganization Event, proper provision shall be made in the agreements governing such Reorganization Event for the conversion of the Series A Preferred Stock into stock of the Person surviving such Reorganization Event or such other continuing entity in such Reorganization Event.</w:t>
      </w:r>
    </w:p>
    <w:p>
      <w:pPr>
        <w:spacing w:after="0" w:line="187"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56" w:firstLine="656"/>
        <w:spacing w:after="0" w:line="252" w:lineRule="auto"/>
        <w:tabs>
          <w:tab w:leader="none" w:pos="7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Holders of shares of Series A Preferred Stock shall be entitled to vote with the holders of the Common Stock on all matters submitted to a vote of stockholders of the Company, except as otherwise provided herein or as required by applicable law, voting together with the holders of Common Stock as a single class; provided, that shares of Series A Preferred Stock that are in excess of the Ownership Limitation shall not be entitled to vote with holders of the Common Stock on any matters submitted to a vote of stockholders of the Company. For such purposes, each Holder shall be entitled to a number of votes in respect of the shares of Series A Preferred Stock owned of record by it equal to the number of shares of Common Stock into which such shares of Series A Preferred Stock could be converted (taking into account the Ownership Limitation in </w:t>
      </w:r>
      <w:r>
        <w:rPr>
          <w:rFonts w:ascii="Times New Roman" w:cs="Times New Roman" w:eastAsia="Times New Roman" w:hAnsi="Times New Roman"/>
          <w:sz w:val="18"/>
          <w:szCs w:val="18"/>
          <w:u w:val="single" w:color="auto"/>
          <w:color w:val="auto"/>
        </w:rPr>
        <w:t>Section 8(f)</w:t>
      </w:r>
      <w:r>
        <w:rPr>
          <w:rFonts w:ascii="Times New Roman" w:cs="Times New Roman" w:eastAsia="Times New Roman" w:hAnsi="Times New Roman"/>
          <w:sz w:val="18"/>
          <w:szCs w:val="18"/>
          <w:color w:val="auto"/>
        </w:rPr>
        <w:t xml:space="preserve">, applied ratably with respect to each outstanding share of Series A Preferred Stock) as of the record date for the determination of stockholders entitled to vote on such matters or, if no such record date is established, as of the date such vote is taken or any written consent of stockholders is solicited;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Holder of shares of Series A Preferred Stock shall be entitled to vote with the holders of Common Stock or any other class or series of Capital Stock of the Company until the expiration or early termination of the applicable waiting period under the HSR Act, if a filing under the HSR Act is required for such Holder with respect to either its acquisition of such shares of Series A Preferred Stock or any conversion of the Series A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Parties that hold shares of Series A Preferred Stock shall not be entitled to any voting rights in respect of such shares of Series A Preferred Stock, at any stockholders’ meeting or in any written consent of stockholders, in each case to the extent, and only to the extent, that such Investor Parties would have the right to a number of votes in respect of such Investor Parties’ shares of Common Stock, Preferred Stock or other Capital Stock of the Company in excess of the Ownership Limitation. For the avoidance of doubt, the Holders of shares of Series A Preferred Stock shall not be entitled to any voting rights in each case to the extent, and only to the extent, that the issuance, delivery, conversion or convertibility of such Series A Preferred Stock would result in such Holder or a “person” or “group” (within the meaning of Section 13(d)(3) of the Exchange Act) beneficially owning in excess of the Ownership Limitation. The Holders of shares of Series A Preferred Stock shall be entitled to notice of any stockholders’ meeting in accordance with the Certificate of Incorporation and the By-Laws as if they were holders of record of Common Stock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424180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ind w:right="40" w:firstLine="656"/>
        <w:spacing w:after="0" w:line="261" w:lineRule="auto"/>
        <w:tabs>
          <w:tab w:leader="none" w:pos="13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So long as 25% Beneficial Ownership Requirement (as defined in the Investment Agreement) is satisfied, in addition to any other vote required by applicable law, the Company may not take any of the following actions (including by means of merger, consolidation, reorganization, recapitalization or otherwise) without the prior affirmative vote or written consent from the Holders of at least a majority of the then-issued and outstanding shares of Series A Preferred, voting as a separate class:</w:t>
      </w:r>
    </w:p>
    <w:p>
      <w:pPr>
        <w:spacing w:after="0" w:line="179" w:lineRule="exact"/>
        <w:rPr>
          <w:rFonts w:ascii="Times New Roman" w:cs="Times New Roman" w:eastAsia="Times New Roman" w:hAnsi="Times New Roman"/>
          <w:sz w:val="18"/>
          <w:szCs w:val="18"/>
          <w:color w:val="auto"/>
        </w:rPr>
      </w:pPr>
    </w:p>
    <w:p>
      <w:pPr>
        <w:ind w:right="120" w:firstLine="1304"/>
        <w:spacing w:after="0" w:line="266" w:lineRule="auto"/>
        <w:tabs>
          <w:tab w:leader="none" w:pos="19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repeal or otherwise modify (whether by merger, consolidation or otherwise) any provision of the Certificate of Incorporation (including this Certificate of Designations) or By-Laws in a manner that would adversely affect the powers, preferences, rights or privileges of the Series A Preferred Stock;</w:t>
      </w:r>
    </w:p>
    <w:p>
      <w:pPr>
        <w:spacing w:after="0" w:line="175" w:lineRule="exact"/>
        <w:rPr>
          <w:rFonts w:ascii="Times New Roman" w:cs="Times New Roman" w:eastAsia="Times New Roman" w:hAnsi="Times New Roman"/>
          <w:sz w:val="18"/>
          <w:szCs w:val="18"/>
          <w:color w:val="auto"/>
        </w:rPr>
      </w:pPr>
    </w:p>
    <w:p>
      <w:pPr>
        <w:ind w:firstLine="1304"/>
        <w:spacing w:after="0" w:line="256" w:lineRule="auto"/>
        <w:tabs>
          <w:tab w:leader="none" w:pos="19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or Senior Stock or any other class or series of Capital Stock of the Company ranking senior to, or on a parity basis with, the Series A Preferred Stock as to dividend rights or rights on the distribution of assets on any voluntary or involuntary liquidation, dissolution or winding up of the affairs of the Company, in each case other than the issuance of Parity Stock with an aggregate liquidation preference or par amount of no more than $30,000,000;</w:t>
      </w:r>
    </w:p>
    <w:p>
      <w:pPr>
        <w:spacing w:after="0" w:line="187" w:lineRule="exact"/>
        <w:rPr>
          <w:rFonts w:ascii="Times New Roman" w:cs="Times New Roman" w:eastAsia="Times New Roman" w:hAnsi="Times New Roman"/>
          <w:sz w:val="18"/>
          <w:szCs w:val="18"/>
          <w:color w:val="auto"/>
        </w:rPr>
      </w:pPr>
    </w:p>
    <w:p>
      <w:pPr>
        <w:ind w:right="600" w:firstLine="1304"/>
        <w:spacing w:after="0" w:line="282" w:lineRule="auto"/>
        <w:tabs>
          <w:tab w:leader="none" w:pos="192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authorized number of shares of Series A Preferred Stock or issuance of shares of Series A Preferred Stock after the Issuance Date other than issuances of Series A Preferred Stock under the Investment Agreement;</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size of the Board;</w:t>
      </w:r>
    </w:p>
    <w:p>
      <w:pPr>
        <w:spacing w:after="0" w:line="225" w:lineRule="exact"/>
        <w:rPr>
          <w:rFonts w:ascii="Times New Roman" w:cs="Times New Roman" w:eastAsia="Times New Roman" w:hAnsi="Times New Roman"/>
          <w:sz w:val="18"/>
          <w:szCs w:val="18"/>
          <w:color w:val="auto"/>
        </w:rPr>
      </w:pPr>
    </w:p>
    <w:p>
      <w:pPr>
        <w:ind w:right="240" w:firstLine="1304"/>
        <w:spacing w:after="0" w:line="282" w:lineRule="auto"/>
        <w:tabs>
          <w:tab w:leader="none" w:pos="19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or lease or encumber any material portion of the Company’s hub motor technology and production line other than the disposition of obsolete, replaced, no longer used or useful, or worn out property, in the ordinary course of business.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filing in accordance with applicable law of a certificate of designations or any similar document setting forth or changing the designations, powers, preferences, rights, qualifications, limitations and restrictions of any class or series of stock of the Company shall be deemed an amendment to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right="220" w:firstLine="656"/>
        <w:spacing w:after="0" w:line="282" w:lineRule="auto"/>
        <w:tabs>
          <w:tab w:leader="none" w:pos="1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A Preferred Stock will have one (1) vote per share on any matter on which Holders of Series A Preferred Stock are entitled to vote separately as a class, whether at a meeting or by written consent.</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13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vote or consent of the Holders of a majority of the shares of Series A Preferred Stock outstanding at such time, voting together as a single class, given in person or by proxy, either in writing without a meeting or by vote at any meeting called for the purpose, will be sufficient to waive or amend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and any amendment or waiver of any of the provisions of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approved by such percentage of the Holders shall be binding on all of the Holders.</w:t>
      </w:r>
    </w:p>
    <w:p>
      <w:pPr>
        <w:spacing w:after="0" w:line="179" w:lineRule="exact"/>
        <w:rPr>
          <w:rFonts w:ascii="Times New Roman" w:cs="Times New Roman" w:eastAsia="Times New Roman" w:hAnsi="Times New Roman"/>
          <w:sz w:val="18"/>
          <w:szCs w:val="18"/>
          <w:color w:val="auto"/>
        </w:rPr>
      </w:pPr>
    </w:p>
    <w:p>
      <w:pPr>
        <w:ind w:right="20" w:firstLine="656"/>
        <w:spacing w:after="0" w:line="261" w:lineRule="auto"/>
        <w:tabs>
          <w:tab w:leader="none" w:pos="13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anything to the contrary in the Certificate of Incorporation or By-Laws, the Holders shall have the exclusive consent and voting rights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and may take action or consent to any action with respect to such rights without a meeting by delivering a consent in writing or by electronic transmission of the Holders of the Series A Preferred Stock entitled to cast not less than the minimum number of votes that would be necessary to authorize, take or consent to such action at a meeting of stockholders.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The Company may appoint a transfer agent and remove its transfer agent in accordance with the agreement between the Company and such transfer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appoint a successor transfer agent of recognized standing who shall accept such appointment prior to the effectiveness of such removal. Upon any such removal or appointment, the Company shall send notice thereof by first-class mail, postage prepaid, to the Holders. When a Holder requests to register the transfer of shares of Series A Preferred Stock, the Company or the Company’s transfer agent, as applicable, shall register the transfer as requested if its reasonable requirements for such transaction are met.</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Status of Shares</w:t>
      </w:r>
      <w:r>
        <w:rPr>
          <w:rFonts w:ascii="Times New Roman" w:cs="Times New Roman" w:eastAsia="Times New Roman" w:hAnsi="Times New Roman"/>
          <w:sz w:val="18"/>
          <w:szCs w:val="18"/>
          <w:color w:val="auto"/>
        </w:rPr>
        <w:t>. Shares of Series A Preferred Stock that have been issued and reacquired in any manner, whether by redemption, repurchase or otherwise or upon any conversion of shares of Series A Preferred Stock to Common Stock, shall thereupon be retired and shall have the status of authorized and unissued shares of preferred stock of the Company undesignated as to series, and may be redesignated as any series of preferred stock of the Company and reissued.</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expressly provided in this Certificate of Designations, the shares of Series A Preferred Stock shall not be redeemable or otherwise mature and the term of the Series A Preferred Stock shall be perpetual.</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Creation of Capital Stock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12(b)(ii)</w:t>
      </w:r>
      <w:r>
        <w:rPr>
          <w:rFonts w:ascii="Times New Roman" w:cs="Times New Roman" w:eastAsia="Times New Roman" w:hAnsi="Times New Roman"/>
          <w:sz w:val="18"/>
          <w:szCs w:val="18"/>
          <w:color w:val="auto"/>
        </w:rPr>
        <w:t>, the Board, without the vote of the Holders, may authorize and issue additional shares of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8" w:name="page39"/>
    <w:bookmarkEnd w:id="38"/>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No Sinking Fund</w:t>
      </w:r>
      <w:r>
        <w:rPr>
          <w:rFonts w:ascii="Times New Roman" w:cs="Times New Roman" w:eastAsia="Times New Roman" w:hAnsi="Times New Roman"/>
          <w:sz w:val="17"/>
          <w:szCs w:val="17"/>
          <w:color w:val="auto"/>
        </w:rPr>
        <w:t>. Shares of Series A Preferred Stock shall not be subject to or entitled to the operation of a retirement or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The Company shall pay any and all stock transfer, documentary, stamp and similar taxes imposed in the United States that may be payable in respect of any issuance or delivery of shares of Series A Preferred Stock or shares of Common Stock or other securities issued on account of Series A Preferred Stock pursuant hereto or certificates representing such shares or securities. The Company shall not, however, be required to pay any such tax that may be payable in respect of any jurisdiction outside the United States or any transfer involved in the issuance or delivery of shares of Series A Preferred Stock, shares of Common Stock or other securities in a name other than the name in which the shares of Series A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Company the amount of any such tax or has established, to the satisfaction of the Company, that such tax has been paid or is not payable.</w:t>
      </w:r>
    </w:p>
    <w:p>
      <w:pPr>
        <w:spacing w:after="0" w:line="188" w:lineRule="exact"/>
        <w:rPr>
          <w:sz w:val="20"/>
          <w:szCs w:val="20"/>
          <w:color w:val="auto"/>
        </w:rPr>
      </w:pPr>
    </w:p>
    <w:p>
      <w:pPr>
        <w:jc w:val="both"/>
        <w:ind w:right="220" w:firstLine="656"/>
        <w:spacing w:after="0" w:line="266" w:lineRule="auto"/>
        <w:tabs>
          <w:tab w:leader="none" w:pos="13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and distributions (or deemed distributions) on the shares of Series A Preferred Stock (and on the shares of Common Stock received upon their conversion) shall be subject to withholding and backup withholding of taxes to the extent required by law, subject to applicable exemptions, and amounts withheld, if any, shall be treated as received by the Holders.</w:t>
      </w:r>
    </w:p>
    <w:p>
      <w:pPr>
        <w:spacing w:after="0" w:line="176"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referred to herein shall be in writing and, unless otherwise specified herein, all notices hereunder shall be deemed to have been given upon the earlier of receipt thereof or three (3) Business Days after the mailing thereof if sent by registered or certified mail (unless first-class mail shall be specifically permitted for such notice under the terms of this Certificate of Designations) with postage prepaid, addressed,</w:t>
      </w:r>
    </w:p>
    <w:p>
      <w:pPr>
        <w:spacing w:after="0" w:line="2" w:lineRule="exact"/>
        <w:rPr>
          <w:sz w:val="20"/>
          <w:szCs w:val="20"/>
          <w:color w:val="auto"/>
        </w:rPr>
      </w:pPr>
    </w:p>
    <w:p>
      <w:pPr>
        <w:jc w:val="both"/>
        <w:ind w:right="140" w:firstLine="8"/>
        <w:spacing w:after="0" w:line="253" w:lineRule="auto"/>
        <w:tabs>
          <w:tab w:leader="none" w:pos="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its office at 2300 Hallock Young Road, Lordstown, Ohio 44481 (Attention: General Counsel), or to any transfer or other agent of the Company designated to receive such notice as permitted by this Certificate of Designations; (ii) if to any Holder, to such Holder at the address of such Holder as listed in the Register; or (iii) to such other address as the Company or any such Holder, as the case may be, shall have designated by notice similarly given.</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A Preferred Stock issued to a Holder and the date of each such issuance, and shall furnish such written record free of charge to any Holder who makes a request therefor.</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Notwithstanding any provision in this Certificate of Designations to the contrary, any provision contained herein and any right of the Holders of Series A Preferred Stock granted hereunder may be waived as to all shares of Series A Preferred Stock (and the Holders thereof) upon the written consent of the Holders of a majority of the shares of Series A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of the Series A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xml:space="preserve">. To the fullest extent permitted by Section 122(17) of the DGCL (or any successor provision) and except as may be otherwise expressly agreed in writing by the Company and the Investor Parties, the Company, on behalf of itself and its Subsidiaries, renounces any interest or expectancy of the Company and its Subsidiaries in, or in being offered an opportunity to participate in, business opportunities, that are from time to time presented to the Investor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solely in his or her capacity as a director or officer of the Company. Any Person purchasing or otherwise acquiring any interest in any shares of Capital Stock of the Company shall be deemed to have notice of and consented to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Neither the alteration, amendment or repeal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nor the adoption of any provision of the Certificate of Incorporation or this Certificate of Designations inconsistent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nor, to the fullest extent permitted by Delaware law, any modification of law, shall eliminate or reduce the effect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would accrue or arise, prior to such alteration, amendment, repeal, adoption or modification. If any provision or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held to be invalid, illegal or unenforceable as applied to any circumstance for any reason whatsoever:</w:t>
      </w:r>
    </w:p>
    <w:p>
      <w:pPr>
        <w:spacing w:after="0" w:line="10" w:lineRule="exact"/>
        <w:rPr>
          <w:sz w:val="20"/>
          <w:szCs w:val="20"/>
          <w:color w:val="auto"/>
        </w:rPr>
      </w:pPr>
    </w:p>
    <w:p>
      <w:pPr>
        <w:ind w:right="80" w:firstLine="8"/>
        <w:spacing w:after="0" w:line="251"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(including, without limitation, each portion of any paragraph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(including, without limitation, each such portion of any paragraph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180"/>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of Designations to be executed this [●] day of [●], 2022.</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00"/>
          </w:cols>
          <w:pgMar w:left="1440" w:top="904" w:right="125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0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Certificate of Designation, Preferences and Rights of the Series A Convertible Preferred Stock of Lordstown Motors Corp.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In accordance with and pursuant to the Certificate of Designations, the undersigned hereby elects to convert the number of shares of Series A Convertible Preferred Stock, par value $0.0001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of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indicated below into shares of Class A common stock, par value $0.0001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of the date specified below][[upon/immediately prior to], and subject to the occurrence of, [●]].</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17145</wp:posOffset>
            </wp:positionV>
            <wp:extent cx="2991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705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Share  certificate  no(s).  of  Series  A  Preferred  Stock  to  be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-1905</wp:posOffset>
            </wp:positionV>
            <wp:extent cx="1568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5715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wp:posOffset>
            </wp:positionV>
            <wp:extent cx="3703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14605</wp:posOffset>
            </wp:positionV>
            <wp:extent cx="234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issue the shares of Common Stock into which the shares of Series A Preferred Stock are being converted in the following name and to the following address: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24174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14605</wp:posOffset>
            </wp:positionV>
            <wp:extent cx="2348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14605</wp:posOffset>
            </wp:positionV>
            <wp:extent cx="192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21342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631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24174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1140"/>
        <w:spacing w:after="0"/>
        <w:tabs>
          <w:tab w:leader="none" w:pos="1920" w:val="left"/>
          <w:tab w:leader="none" w:pos="2680" w:val="left"/>
          <w:tab w:leader="none" w:pos="3040" w:val="left"/>
          <w:tab w:leader="none" w:pos="3920" w:val="left"/>
          <w:tab w:leader="none" w:pos="4460" w:val="left"/>
        </w:tabs>
        <w:rPr>
          <w:sz w:val="20"/>
          <w:szCs w:val="20"/>
          <w:color w:val="auto"/>
        </w:rPr>
      </w:pPr>
      <w:r>
        <w:rPr>
          <w:rFonts w:ascii="Times New Roman" w:cs="Times New Roman" w:eastAsia="Times New Roman" w:hAnsi="Times New Roman"/>
          <w:sz w:val="18"/>
          <w:szCs w:val="18"/>
          <w:color w:val="auto"/>
        </w:rPr>
        <w:t>Account</w:t>
        <w:tab/>
        <w:t>Number</w:t>
        <w:tab/>
        <w:t>(if</w:t>
        <w:tab/>
        <w:t>electronic</w:t>
        <w:tab/>
        <w:t>book</w:t>
      </w:r>
      <w:r>
        <w:rPr>
          <w:sz w:val="20"/>
          <w:szCs w:val="20"/>
          <w:color w:val="auto"/>
        </w:rPr>
        <w:tab/>
      </w:r>
      <w:r>
        <w:rPr>
          <w:rFonts w:ascii="Times New Roman" w:cs="Times New Roman" w:eastAsia="Times New Roman" w:hAnsi="Times New Roman"/>
          <w:sz w:val="17"/>
          <w:szCs w:val="17"/>
          <w:color w:val="auto"/>
        </w:rPr>
        <w:t>entry</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-1905</wp:posOffset>
            </wp:positionV>
            <wp:extent cx="1920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140"/>
        <w:spacing w:after="0"/>
        <w:tabs>
          <w:tab w:leader="none" w:pos="2120" w:val="left"/>
          <w:tab w:leader="none" w:pos="2660" w:val="left"/>
          <w:tab w:leader="none" w:pos="3420" w:val="left"/>
          <w:tab w:leader="none" w:pos="3740" w:val="left"/>
          <w:tab w:leader="none" w:pos="4620" w:val="left"/>
          <w:tab w:leader="none" w:pos="5140" w:val="left"/>
        </w:tabs>
        <w:rPr>
          <w:sz w:val="20"/>
          <w:szCs w:val="20"/>
          <w:color w:val="auto"/>
        </w:rPr>
      </w:pPr>
      <w:r>
        <w:rPr>
          <w:rFonts w:ascii="Times New Roman" w:cs="Times New Roman" w:eastAsia="Times New Roman" w:hAnsi="Times New Roman"/>
          <w:sz w:val="18"/>
          <w:szCs w:val="18"/>
          <w:color w:val="auto"/>
        </w:rPr>
        <w:t>Transaction</w:t>
        <w:tab/>
        <w:t>Code</w:t>
        <w:tab/>
        <w:t>Number</w:t>
        <w:tab/>
        <w:t>(if</w:t>
        <w:tab/>
        <w:t>electronic</w:t>
        <w:tab/>
        <w:t>book</w:t>
      </w:r>
      <w:r>
        <w:rPr>
          <w:sz w:val="20"/>
          <w:szCs w:val="20"/>
          <w:color w:val="auto"/>
        </w:rPr>
        <w:tab/>
      </w:r>
      <w:r>
        <w:rPr>
          <w:rFonts w:ascii="Times New Roman" w:cs="Times New Roman" w:eastAsia="Times New Roman" w:hAnsi="Times New Roman"/>
          <w:sz w:val="17"/>
          <w:szCs w:val="17"/>
          <w:color w:val="auto"/>
        </w:rPr>
        <w:t>entry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-1905</wp:posOffset>
            </wp:positionV>
            <wp:extent cx="1491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[NOTE TO HOLDER — THIS FORM MUST BE SENT CONCURRENTLY TO TRANSFER AGENT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color w:val="auto"/>
        </w:rPr>
        <w:t>ACKNOWLEDGMENT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the attached Conversion Notice and hereby directs [Transfer Agent] to issue the above indicated number of shares of Common Stock in accordance with the Irrevocable Transfer Agent Instructions dated [__] from the Company and acknowledged and agreed to by [__].</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FOXCONN VENTURES PTE. LTD.</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1080" w:type="dxa"/>
            <w:vAlign w:val="bottom"/>
          </w:tcPr>
          <w:p>
            <w:pPr>
              <w:spacing w:after="0"/>
              <w:rPr>
                <w:sz w:val="24"/>
                <w:szCs w:val="24"/>
                <w:color w:val="auto"/>
              </w:rPr>
            </w:pPr>
          </w:p>
        </w:tc>
        <w:tc>
          <w:tcPr>
            <w:tcW w:w="8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Article I</w:t>
            </w:r>
          </w:p>
        </w:tc>
        <w:tc>
          <w:tcPr>
            <w:tcW w:w="1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Definitions</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080" w:type="dxa"/>
            <w:vAlign w:val="bottom"/>
          </w:tcPr>
          <w:p>
            <w:pPr>
              <w:spacing w:after="0"/>
              <w:rPr>
                <w:sz w:val="24"/>
                <w:szCs w:val="24"/>
                <w:color w:val="auto"/>
              </w:rPr>
            </w:pPr>
          </w:p>
        </w:tc>
        <w:tc>
          <w:tcPr>
            <w:tcW w:w="8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Purchase and Sale</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Sale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Closing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Common Closing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Subsequent Preferred Closings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1080" w:type="dxa"/>
            <w:vAlign w:val="bottom"/>
          </w:tcPr>
          <w:p>
            <w:pPr>
              <w:spacing w:after="0"/>
              <w:rPr>
                <w:sz w:val="24"/>
                <w:szCs w:val="24"/>
                <w:color w:val="auto"/>
              </w:rPr>
            </w:pPr>
          </w:p>
        </w:tc>
        <w:tc>
          <w:tcPr>
            <w:tcW w:w="81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Article III</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1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Representations and Warranties of the Company</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Standing</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Approvals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SEC Documents; Undisclosed Liabilities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Rights Agreement; Anti-Takeover Provisions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 and Maintenance Requirements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Material Indebtedness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Ability to Pay Dividends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 Security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Company Representations or Warranties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Investor Representations or Warranties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9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Article IV</w:t>
            </w:r>
          </w:p>
        </w:tc>
        <w:tc>
          <w:tcPr>
            <w:tcW w:w="80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9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Representations and Warranties of the Investor</w:t>
            </w:r>
          </w:p>
        </w:tc>
        <w:tc>
          <w:tcPr>
            <w:tcW w:w="80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Standing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Approvals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Sufficiency of Funds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 of Company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Non-Reliance on Company Estimates, Projections, Forecasts, Forward-Looking Statements and Business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for Investment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Investor Representations or Warranties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Company Representations or Warranties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080" w:type="dxa"/>
            <w:vAlign w:val="bottom"/>
          </w:tcPr>
          <w:p>
            <w:pPr>
              <w:spacing w:after="0"/>
              <w:rPr>
                <w:sz w:val="24"/>
                <w:szCs w:val="24"/>
                <w:color w:val="auto"/>
              </w:rPr>
            </w:pPr>
          </w:p>
        </w:tc>
        <w:tc>
          <w:tcPr>
            <w:tcW w:w="9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Article V</w:t>
            </w:r>
          </w:p>
        </w:tc>
        <w:tc>
          <w:tcPr>
            <w:tcW w:w="8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Additional Agreements</w:t>
            </w:r>
          </w:p>
        </w:tc>
        <w:tc>
          <w:tcPr>
            <w:tcW w:w="80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Negative Covenants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Regulatory Filings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Actions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Disclosure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Listing of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Standstill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Legend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Election of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Registration Statement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Exclusivity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 Program</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1080" w:type="dxa"/>
            <w:vAlign w:val="bottom"/>
          </w:tcPr>
          <w:p>
            <w:pPr>
              <w:spacing w:after="0"/>
              <w:rPr>
                <w:sz w:val="24"/>
                <w:szCs w:val="24"/>
                <w:color w:val="auto"/>
              </w:rPr>
            </w:pPr>
          </w:p>
        </w:tc>
        <w:tc>
          <w:tcPr>
            <w:tcW w:w="9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Article VI</w:t>
            </w:r>
          </w:p>
        </w:tc>
        <w:tc>
          <w:tcPr>
            <w:tcW w:w="80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Conditions to ClosingS</w:t>
            </w:r>
          </w:p>
        </w:tc>
        <w:tc>
          <w:tcPr>
            <w:tcW w:w="80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Obligations of the Company and the Investor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Obligations of the Investor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the Obligations of the Company and the Investor to Effect the Subsequent Common Closing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the Obligations of the Investor to Effect the Second Preferred Closing and the Third Preferred</w:t>
            </w:r>
          </w:p>
        </w:tc>
        <w:tc>
          <w:tcPr>
            <w:tcW w:w="8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500" w:type="dxa"/>
            <w:vAlign w:val="bottom"/>
          </w:tcPr>
          <w:p>
            <w:pPr>
              <w:jc w:val="center"/>
              <w:ind w:right="4650"/>
              <w:spacing w:after="0"/>
              <w:rPr>
                <w:sz w:val="20"/>
                <w:szCs w:val="20"/>
                <w:color w:val="auto"/>
              </w:rPr>
            </w:pPr>
            <w:r>
              <w:rPr>
                <w:rFonts w:ascii="Times New Roman" w:cs="Times New Roman" w:eastAsia="Times New Roman" w:hAnsi="Times New Roman"/>
                <w:sz w:val="18"/>
                <w:szCs w:val="18"/>
                <w:b w:val="1"/>
                <w:bCs w:val="1"/>
                <w:color w:val="auto"/>
                <w:w w:val="99"/>
              </w:rPr>
              <w:t>Article VII</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00" w:type="dxa"/>
            <w:vAlign w:val="bottom"/>
          </w:tcPr>
          <w:p>
            <w:pPr>
              <w:jc w:val="center"/>
              <w:ind w:right="4630"/>
              <w:spacing w:after="0"/>
              <w:rPr>
                <w:sz w:val="20"/>
                <w:szCs w:val="20"/>
                <w:color w:val="auto"/>
              </w:rPr>
            </w:pPr>
            <w:r>
              <w:rPr>
                <w:rFonts w:ascii="Times New Roman" w:cs="Times New Roman" w:eastAsia="Times New Roman" w:hAnsi="Times New Roman"/>
                <w:sz w:val="18"/>
                <w:szCs w:val="18"/>
                <w:b w:val="1"/>
                <w:bCs w:val="1"/>
                <w:color w:val="auto"/>
                <w:w w:val="98"/>
              </w:rPr>
              <w:t>Termination; Survival</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22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22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00" w:type="dxa"/>
            <w:vAlign w:val="bottom"/>
          </w:tcPr>
          <w:p>
            <w:pPr>
              <w:jc w:val="center"/>
              <w:ind w:right="4650"/>
              <w:spacing w:after="0"/>
              <w:rPr>
                <w:sz w:val="20"/>
                <w:szCs w:val="20"/>
                <w:color w:val="auto"/>
              </w:rPr>
            </w:pPr>
            <w:r>
              <w:rPr>
                <w:rFonts w:ascii="Times New Roman" w:cs="Times New Roman" w:eastAsia="Times New Roman" w:hAnsi="Times New Roman"/>
                <w:sz w:val="18"/>
                <w:szCs w:val="18"/>
                <w:b w:val="1"/>
                <w:bCs w:val="1"/>
                <w:color w:val="auto"/>
              </w:rPr>
              <w:t>Article VIII</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00" w:type="dxa"/>
            <w:vAlign w:val="bottom"/>
          </w:tcPr>
          <w:p>
            <w:pPr>
              <w:jc w:val="center"/>
              <w:ind w:right="4650"/>
              <w:spacing w:after="0"/>
              <w:rPr>
                <w:sz w:val="20"/>
                <w:szCs w:val="20"/>
                <w:color w:val="auto"/>
              </w:rPr>
            </w:pPr>
            <w:r>
              <w:rPr>
                <w:rFonts w:ascii="Times New Roman" w:cs="Times New Roman" w:eastAsia="Times New Roman" w:hAnsi="Times New Roman"/>
                <w:sz w:val="18"/>
                <w:szCs w:val="18"/>
                <w:b w:val="1"/>
                <w:bCs w:val="1"/>
                <w:color w:val="auto"/>
                <w:w w:val="99"/>
              </w:rPr>
              <w:t>Miscellaneous</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22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 Waivers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Extension of Time, Waiver, Etc.</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Entire Agreement; No Third-Party Beneficiaries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Enforcement</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2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22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Interpretation</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500" w:type="dxa"/>
            <w:vAlign w:val="bottom"/>
          </w:tcPr>
          <w:p>
            <w:pPr>
              <w:jc w:val="center"/>
              <w:ind w:right="4650"/>
              <w:spacing w:after="0"/>
              <w:rPr>
                <w:sz w:val="20"/>
                <w:szCs w:val="20"/>
                <w:color w:val="auto"/>
              </w:rPr>
            </w:pPr>
            <w:r>
              <w:rPr>
                <w:rFonts w:ascii="Times New Roman" w:cs="Times New Roman" w:eastAsia="Times New Roman" w:hAnsi="Times New Roman"/>
                <w:sz w:val="18"/>
                <w:szCs w:val="18"/>
                <w:color w:val="auto"/>
                <w:w w:val="99"/>
              </w:rPr>
              <w:t>ANNEXES</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Annex I</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Certificate of Designations</w:t>
            </w:r>
          </w:p>
        </w:tc>
        <w:tc>
          <w:tcPr>
            <w:tcW w:w="650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Annex II</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6500" w:type="dxa"/>
            <w:vAlign w:val="bottom"/>
          </w:tcPr>
          <w:p>
            <w:pPr>
              <w:spacing w:after="0"/>
              <w:rPr>
                <w:sz w:val="20"/>
                <w:szCs w:val="20"/>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48" w:name="page49"/>
    <w:bookmarkEnd w:id="48"/>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INVESTMENT AGREEMENT, dated as of November 7,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Foxconn Ventures Pte. Ltd., a private company limited by shares established under the laws of Singapore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desires to issue, sell and deliver to the Investor, and the Investor desires to purchase and acquire from the Company, pursuant to the terms and conditions set forth in this Agreement, an aggregate of (a) 39,772,727 shares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(b) 1,000,000 shares of the Company’s Series A Convertible Preferred Stock, par value $0.0001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xml:space="preserve">”), having the designation, preferences, conversion or other rights, voting powers, restrictions, limitations as to dividends, qualifications and terms and conditions, as specified in the form of Certificate of Designation, Preferences and Rights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the receipt and sufficiency of which are hereby acknowledged, the parties to this Agreement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(including the recitals hereto), the following terms shall have the following meanings:</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25% Beneficial Ownership Requirement</w:t>
      </w:r>
      <w:r>
        <w:rPr>
          <w:rFonts w:ascii="Times New Roman" w:cs="Times New Roman" w:eastAsia="Times New Roman" w:hAnsi="Times New Roman"/>
          <w:sz w:val="18"/>
          <w:szCs w:val="18"/>
          <w:color w:val="auto"/>
        </w:rPr>
        <w:t>” means that the Investor Parties continue to beneficially own at all times shares of Common Stock, shares of Series A Preferred Stock and/or shares of Common Stock that were issued upon conversion of shares of Series A Preferred Stock that represent, on an as-converted basis, at least 25% of the number of shares of Common Stock, on an as-converted basis, acquired by the Investor Parties under this Agreement.</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50% Beneficial Ownership Requirement</w:t>
      </w:r>
      <w:r>
        <w:rPr>
          <w:rFonts w:ascii="Times New Roman" w:cs="Times New Roman" w:eastAsia="Times New Roman" w:hAnsi="Times New Roman"/>
          <w:sz w:val="18"/>
          <w:szCs w:val="18"/>
          <w:color w:val="auto"/>
        </w:rPr>
        <w:t>” means that the Investor Parties continue to beneficially own at all times shares of Common Stock, shares of Series A Preferred Stock and/or shares of Common Stock that were issued upon conversion of shares of Series A Preferred Stock that represent, on an as-converted basis, at least 50% of the number of shares of Common Stock, on an as-converted basis, acquired by the Investor Parties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Acquired Shares</w:t>
      </w:r>
      <w:r>
        <w:rPr>
          <w:rFonts w:ascii="Times New Roman" w:cs="Times New Roman" w:eastAsia="Times New Roman" w:hAnsi="Times New Roman"/>
          <w:sz w:val="17"/>
          <w:szCs w:val="17"/>
          <w:color w:val="auto"/>
        </w:rPr>
        <w:t>” means, with respect to any Closing, any Common Stock and Series A Preferred Stock acquired by the Investor at such Closing.</w:t>
      </w:r>
    </w:p>
    <w:p>
      <w:pPr>
        <w:spacing w:after="0" w:line="23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proposal or offer from any Person relating to any direct or indirect (i) sale, lease or other disposition directly or indirectly by merger, consolidation, business combination, share exchange, joint venture or otherwise of assets of the Company or any of its Subsidiaries representing 30% or more of the consolidated assets of the Company (other than sales of inventory in the ordinary course of business and consistent with past practice); (ii) issuance, sale or other disposition, directly or indirectly (including by way of merger, consolidation, business combination, share exchange, joint venture or any similar transaction), of securities (or options, rights or warrants to purchase, or securities convertible into or exchangeable for, such securities) representing 15% or more of any class of outstanding voting securities of the Company (other than grants of Series A Preferred Stock, Company Stock Options and Company RSUs, Company PSUs and Company Restricted Shares under the Company Stock Plans in the ordinary course of business to employees, officers or directors of the Company or any of its Subsidiaries); (iii) tender offer or exchange offer as defined pursuant to the Exchange Act that, if consummated, would result in any Person beneficially owning 15% or more of any class or series (or the voting power of any class or series) of equity securities of the Company or any other transaction in which any Person shall acquire beneficial ownership or the right to acquire beneficial ownership, of 15% or more of any class or series (or the voting power of any class or series) of equity securities; (iv) merger, consolidation, business combination, recapitalization, liquidation, dissolution or similar transaction involving the Company or any of its Subsidiaries representing 30% or more of the consolidated assets of the Company; or (v) combination of the foregoing (in each case, other than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deemed to be Affiliates of the Investor or any of its Affiliates. For this purpose,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 b</w:t>
      </w:r>
      <w:r>
        <w:rPr>
          <w:rFonts w:ascii="Times New Roman" w:cs="Times New Roman" w:eastAsia="Times New Roman" w:hAnsi="Times New Roman"/>
          <w:sz w:val="18"/>
          <w:szCs w:val="18"/>
          <w:color w:val="auto"/>
        </w:rPr>
        <w:t>y”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as-converted basis</w:t>
      </w:r>
      <w:r>
        <w:rPr>
          <w:rFonts w:ascii="Times New Roman" w:cs="Times New Roman" w:eastAsia="Times New Roman" w:hAnsi="Times New Roman"/>
          <w:sz w:val="18"/>
          <w:szCs w:val="18"/>
          <w:color w:val="auto"/>
        </w:rPr>
        <w:t>” means, with respect to a Person or Persons, all outstanding shares of Common Stock beneficially owned by such Person or Persons, calculated on a basis in which all shares of Common Stock issuable upon conversion of the outstanding shares of Series A Preferred Stock (at the Conversion Rate in effect on such date as set forth in the Certificate of Designations and without regard to any of the limitations on convertibility contained in Sections 6 and 8(f) of the Certificate of Designation) are assumed to be outstanding as of such date.</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Any Person shall be deemed to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of, or to be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xml:space="preserve">” by such Person) that such Person is deemed to “beneficially own” within the meaning of Rules 13d-3 and 13d-5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shall be deemed to beneficially own any securities that such Person has the right to acquire, whether or not such right is exercisable immediately (including assuming conversion of all Series A Preferred Stock, if any, owned by such Person to Common Stock).</w:t>
      </w:r>
    </w:p>
    <w:p>
      <w:pPr>
        <w:spacing w:after="0" w:line="183"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Available Registration Statement</w:t>
      </w:r>
      <w:r>
        <w:rPr>
          <w:rFonts w:ascii="Times New Roman" w:cs="Times New Roman" w:eastAsia="Times New Roman" w:hAnsi="Times New Roman"/>
          <w:sz w:val="17"/>
          <w:szCs w:val="17"/>
          <w:color w:val="auto"/>
        </w:rPr>
        <w:t>” shall mean, with respect to a Registration Statement as of a date, that (i) as of such date such Registration Statement is effective for an offering to be made on a delayed or continuous basis, there is no stop order with respect thereto and the Company reasonably believes that such Registration Statement will be continuously available for the resale of Registrable Securities for the next ten (10) Business Days and</w:t>
      </w:r>
    </w:p>
    <w:p>
      <w:pPr>
        <w:spacing w:after="0" w:line="2" w:lineRule="exact"/>
        <w:rPr>
          <w:sz w:val="20"/>
          <w:szCs w:val="20"/>
          <w:color w:val="auto"/>
        </w:rPr>
      </w:pPr>
    </w:p>
    <w:p>
      <w:pPr>
        <w:jc w:val="both"/>
        <w:ind w:right="120" w:firstLine="8"/>
        <w:spacing w:after="0" w:line="255"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such date and continuously for the next ten (10) Business Days, (a) there is not in effect a Postponement Period or Quarterly Blackout Period (as each such term is defined in the Registration Rights Agreement) and (b) the Investor Parties are not restricted by the holdback provision of Section 9(a) of the Registration Rights Agreement or any related “lock-up” agreement.</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Taipei, or Singapore are authorized or required by Law to be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means the U.S. government’s Committee on Foreign Investment in the United States.</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Clearance</w:t>
      </w:r>
      <w:r>
        <w:rPr>
          <w:rFonts w:ascii="Times New Roman" w:cs="Times New Roman" w:eastAsia="Times New Roman" w:hAnsi="Times New Roman"/>
          <w:sz w:val="18"/>
          <w:szCs w:val="18"/>
          <w:color w:val="auto"/>
        </w:rPr>
        <w:t>” means the Company and the Investor have received from CFIUS a written communication that (a) CFIUS has concluded that the Transactions are not a “covered transaction” and not subject to review under applicable Law or (b) CFIUS has concluded the review of the Transactions under Section 721 and determined that there are no unresolved national security concerns with respect to the Transactions.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Turndown</w:t>
      </w:r>
      <w:r>
        <w:rPr>
          <w:rFonts w:ascii="Times New Roman" w:cs="Times New Roman" w:eastAsia="Times New Roman" w:hAnsi="Times New Roman"/>
          <w:sz w:val="18"/>
          <w:szCs w:val="18"/>
          <w:color w:val="auto"/>
        </w:rPr>
        <w:t>” means (a) CFIUS has informed the Company and the Investor in writing that it has unresolved national security concerns with respect to the Transactions and that it intends to refer the matter to the President of the United States unless the Company and the Investor abandon the Transactions or (b) CFIUS has informed the Company and the Investor in writing that mitigation that would have a Regulatory Material Adverse Effect is required to address national security concerns with respect to the Transactions and the Investor does not agree to such mitigation.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means the Company’s certificate of incorporation, as amended to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 Documents</w:t>
      </w:r>
      <w:r>
        <w:rPr>
          <w:rFonts w:ascii="Times New Roman" w:cs="Times New Roman" w:eastAsia="Times New Roman" w:hAnsi="Times New Roman"/>
          <w:sz w:val="18"/>
          <w:szCs w:val="18"/>
          <w:color w:val="auto"/>
        </w:rPr>
        <w:t>” means the Company Charter and the Company’s bylaws, as amended to the date of this Agreement.</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plan, program, policy, agreement or other arrangement covering current or former employees, directors or consultants, that is (i) an employee welfare plan within the meaning of Section 3(1) of ERISA, (ii) an employee pension benefit plan within the meaning of Section 3(2) of ERISA, other than any plan which is a “multiemployer plan” (as defined in Section 4001(a)(3) of ERISA), (iii) a stock option, stock purchase, stock appreciation right or other stock-based agreement, program or plan, (iv) an individual employment, consulting, severance, retention or other similar agreement or (v) a bonus, incentive, deferred compensation, profit-sharing, retirement, post-retirement, vacation, severance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or has or may have any liability, other than any plan, program, policy, agreement or arrangement mandated by applicable Law.</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a restricted stock unit of the Company that is initially subject to both time-based and performance-based vesting conditions.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Share</w:t>
      </w:r>
      <w:r>
        <w:rPr>
          <w:rFonts w:ascii="Times New Roman" w:cs="Times New Roman" w:eastAsia="Times New Roman" w:hAnsi="Times New Roman"/>
          <w:sz w:val="18"/>
          <w:szCs w:val="18"/>
          <w:color w:val="auto"/>
        </w:rPr>
        <w:t>” means a share of Common Stock that is subject to forfeiture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of the Company subject solely to time-based vesting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means an option to purchase shares of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2020 Equity Incentive Plan, as amended from time to time, or any successor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has the meaning set forth in the Certificate of Designations.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or associated epidemics, pandemic or disease outbreaks.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means the Delaware General Corporation Law, as amended, supplemented or restated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right="240"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 Program</w:t>
      </w:r>
      <w:r>
        <w:rPr>
          <w:rFonts w:ascii="Times New Roman" w:cs="Times New Roman" w:eastAsia="Times New Roman" w:hAnsi="Times New Roman"/>
          <w:sz w:val="17"/>
          <w:szCs w:val="17"/>
          <w:color w:val="auto"/>
        </w:rPr>
        <w:t>” means the planning, designing, engineering, developing, testing, industrializing, homologating, certifying, and launching of the electric and autonomous vehicles contemplated under the Product Development and Engineering Services Agreement and the EV Program Agreement.</w:t>
      </w:r>
    </w:p>
    <w:p>
      <w:pPr>
        <w:spacing w:after="0" w:line="14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 Program Agreement</w:t>
      </w:r>
      <w:r>
        <w:rPr>
          <w:rFonts w:ascii="Times New Roman" w:cs="Times New Roman" w:eastAsia="Times New Roman" w:hAnsi="Times New Roman"/>
          <w:sz w:val="18"/>
          <w:szCs w:val="18"/>
          <w:color w:val="auto"/>
        </w:rPr>
        <w:t>” means that certain EV Program Agreement to be entered into between the Company and the counterparty named in the Product Development and Engineering Services Agreement entered into by the Company on or about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 Program Budget</w:t>
      </w:r>
      <w:r>
        <w:rPr>
          <w:rFonts w:ascii="Times New Roman" w:cs="Times New Roman" w:eastAsia="Times New Roman" w:hAnsi="Times New Roman"/>
          <w:sz w:val="18"/>
          <w:szCs w:val="18"/>
          <w:color w:val="auto"/>
        </w:rPr>
        <w:t>” means a budget for the EV Program, which budget shall be prepared to reflect expenditures on a monthly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Investor Board Seat Fall-Awa</w:t>
      </w:r>
      <w:r>
        <w:rPr>
          <w:rFonts w:ascii="Times New Roman" w:cs="Times New Roman" w:eastAsia="Times New Roman" w:hAnsi="Times New Roman"/>
          <w:sz w:val="18"/>
          <w:szCs w:val="18"/>
          <w:color w:val="auto"/>
        </w:rPr>
        <w:t>y” means the first day on which the 50% Beneficial Ownership Requirement is not satisfied.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2" w:name="page53"/>
    <w:bookmarkEnd w:id="52"/>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common law fraud in the making of a representation, warranty, or other statement committed by a Person making such representation, warranty, or statement with the intent to deceive another Person, and to induce any Person to enter into this Agreement or any Transaction Document and requires (a) a false representation, warranty, or statement of material fact; (b) actual knowledge or belief that such representation, warranty, or statement is false; (c) an intention to induce such other Person to whom such representation, warranty, or statement was made to act or refrain from acting in reliance upon it; (d) causing that Person, in justifiable reliance upon such false representation, warranty, or statement to take or refrain from taking action; and (e) causing such Person or any party hereto to suffer damage by reason of such reliance. For clarity, a claim for Fraud may only be made against such Person committing such Fraud, it being understood that if a Representative of a party hereto commits Fraud, then such party shall be deemed to have committed such Fraud.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government, court, regulatory or administrative agency, arbitrator (public or private), commission or authority or other legislative, executive or judicial governmental entity (in each case including any self-regulatory organization), whether federal, state or local, domestic, foreign or multinational.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rights of any type in any jurisdiction, including any trademarks, service marks, trade names, Internet domain names, logos, slogans, patents, copyrights and copyrightable works, rights in computer software (including source code and object code) data, databases, and documentation thereof, trade secrets and confidential information, and know-how, technology, and inventions (whether patentable or not) (together with all goodwill associated therewith and including any registrations or applications for registration of any of the foregoing).</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Designee</w:t>
      </w:r>
      <w:r>
        <w:rPr>
          <w:rFonts w:ascii="Times New Roman" w:cs="Times New Roman" w:eastAsia="Times New Roman" w:hAnsi="Times New Roman"/>
          <w:sz w:val="18"/>
          <w:szCs w:val="18"/>
          <w:color w:val="auto"/>
        </w:rPr>
        <w:t xml:space="preserve">” means an individual designated in writing by the Investor to be nominated by the Company for election to the Board pursuant to </w:t>
      </w:r>
      <w:r>
        <w:rPr>
          <w:rFonts w:ascii="Times New Roman" w:cs="Times New Roman" w:eastAsia="Times New Roman" w:hAnsi="Times New Roman"/>
          <w:sz w:val="18"/>
          <w:szCs w:val="18"/>
          <w:u w:val="single" w:color="auto"/>
          <w:color w:val="auto"/>
        </w:rPr>
        <w:t>Section 5.09(c)</w:t>
      </w:r>
      <w:r>
        <w:rPr>
          <w:rFonts w:ascii="Times New Roman" w:cs="Times New Roman" w:eastAsia="Times New Roman" w:hAnsi="Times New Roman"/>
          <w:sz w:val="18"/>
          <w:szCs w:val="18"/>
          <w:color w:val="auto"/>
        </w:rPr>
        <w:t xml:space="preserve"> or elected to the Board pursuant to </w:t>
      </w:r>
      <w:r>
        <w:rPr>
          <w:rFonts w:ascii="Times New Roman" w:cs="Times New Roman" w:eastAsia="Times New Roman" w:hAnsi="Times New Roman"/>
          <w:sz w:val="18"/>
          <w:szCs w:val="18"/>
          <w:u w:val="single" w:color="auto"/>
          <w:color w:val="auto"/>
        </w:rPr>
        <w:t>Sections 5.09(a)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5.09(d)</w:t>
      </w:r>
      <w:r>
        <w:rPr>
          <w:rFonts w:ascii="Times New Roman" w:cs="Times New Roman" w:eastAsia="Times New Roman" w:hAnsi="Times New Roman"/>
          <w:sz w:val="18"/>
          <w:szCs w:val="18"/>
          <w:color w:val="auto"/>
        </w:rPr>
        <w:t>, as applicable, and following reasonable satisfaction by such individuals of customary background checks.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Director</w:t>
      </w:r>
      <w:r>
        <w:rPr>
          <w:rFonts w:ascii="Times New Roman" w:cs="Times New Roman" w:eastAsia="Times New Roman" w:hAnsi="Times New Roman"/>
          <w:sz w:val="18"/>
          <w:szCs w:val="18"/>
          <w:color w:val="auto"/>
        </w:rPr>
        <w:t>” means a member of the Board who was elected to the Board as an Investor Designee.</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Material Adverse Effect</w:t>
      </w:r>
      <w:r>
        <w:rPr>
          <w:rFonts w:ascii="Times New Roman" w:cs="Times New Roman" w:eastAsia="Times New Roman" w:hAnsi="Times New Roman"/>
          <w:sz w:val="18"/>
          <w:szCs w:val="18"/>
          <w:color w:val="auto"/>
        </w:rPr>
        <w:t>” means any effect, change, event or occurrence that has or would reasonably be expected to prevent or materially delay, interfere with, hinder or impair (i) the consummation by the Investor of any of the Transactions on a timely basis or (ii) the compliance by the Investor with its obligations under this Agreement.</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Parties</w:t>
      </w:r>
      <w:r>
        <w:rPr>
          <w:rFonts w:ascii="Times New Roman" w:cs="Times New Roman" w:eastAsia="Times New Roman" w:hAnsi="Times New Roman"/>
          <w:sz w:val="18"/>
          <w:szCs w:val="18"/>
          <w:color w:val="auto"/>
        </w:rPr>
        <w:t>” means the Investor and each Affiliate of the Investor to whom shares of Series A Preferred Stock or Common Stock are transferred.</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all hardware, software, code, systems, networks, websites, applications, databases and other information technology assets and equipment.</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actual knowledge, as of the date of this Agreement, of the individuals listed on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pledge, lien, charge, encumbrance, security interest, adverse ownership interest or other restriction of any kind or nature, whether based on common law, statute or contract.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has the meaning set forth in the Certificate of Designations.</w:t>
      </w:r>
    </w:p>
    <w:p>
      <w:pPr>
        <w:spacing w:after="0" w:line="22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any effect, change, event or circumstance that, individually or in the aggregate, has had, or would reasonably be expected to (i) have a material adverse effect on the business, assets, properties, financial condition or results of operation of the Company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changes or events resulting from the following items shall not be considered when determining whether a Material Adverse Effect has occurred: (a) changes in economic, political, regulatory, financial or capital market conditions generally or in the industries in which the Company and its Subsidiaries operate, (b) any acts of war, sabotage, terrorist activities or changes imposed by a Governmental Authority associated with national security, (c) effects of epidemics, pandemics or disease outbreaks (including the COVID-19 virus) or weather or meteorological events, (d) any change of Law, accounting standards, regulatory policy or industry standards after the date of this Agreement, (e) the announcement, execution or delivery of this Agreement or the consummation of the Transactions (it being understood that this clause (e) shall not apply to a breach of any representation or warranty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(f) any actions taken by, or at the written request</w:t>
      </w:r>
    </w:p>
    <w:p>
      <w:pPr>
        <w:spacing w:after="0" w:line="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of, Investor or the Investor Parties and (g) any failure by the Company to meet projections or forecasts or revenue or earnings predictions for any period (but, for the purposes of clarity, not the underlying cause of such failure), except, solely with respect to clauses (a), (b), (c) and (d), to the extent the Company and its Subsidiaries, taken as a whole, are materially and disproportionately affected thereby relative to other participants in the industry or industries in which the Company and its Subsidiaries operate (in which case only the incremental material and disproportionate effect or effects may be taken into account in determining whether there has been a Material Adverse Effect) or (ii) prevent or materially delay, interfere with, hinder or impair</w:t>
      </w:r>
    </w:p>
    <w:p>
      <w:pPr>
        <w:spacing w:after="0" w:line="2" w:lineRule="exact"/>
        <w:rPr>
          <w:sz w:val="20"/>
          <w:szCs w:val="20"/>
          <w:color w:val="auto"/>
        </w:rPr>
      </w:pPr>
    </w:p>
    <w:p>
      <w:pPr>
        <w:ind w:right="600" w:firstLine="8"/>
        <w:spacing w:after="0" w:line="260"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or its Subsidiaries of any of the Transactions on a timely basis or (b) the compliance by the Company or its Subsidiaries with its respective obligations under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MIH JV</w:t>
      </w:r>
      <w:r>
        <w:rPr>
          <w:rFonts w:ascii="Times New Roman" w:cs="Times New Roman" w:eastAsia="Times New Roman" w:hAnsi="Times New Roman"/>
          <w:sz w:val="18"/>
          <w:szCs w:val="18"/>
          <w:color w:val="auto"/>
        </w:rPr>
        <w:t>” means MIH EV Design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MIH JV LLC Agreement</w:t>
      </w:r>
      <w:r>
        <w:rPr>
          <w:rFonts w:ascii="Times New Roman" w:cs="Times New Roman" w:eastAsia="Times New Roman" w:hAnsi="Times New Roman"/>
          <w:sz w:val="18"/>
          <w:szCs w:val="18"/>
          <w:color w:val="auto"/>
        </w:rPr>
        <w:t>” means the Limited Liability Company Agreement of MIH JV, dated as of May 11, 2022,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4" w:name="page55"/>
    <w:bookmarkEnd w:id="54"/>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Funding Milestones</w:t>
      </w:r>
      <w:r>
        <w:rPr>
          <w:rFonts w:ascii="Times New Roman" w:cs="Times New Roman" w:eastAsia="Times New Roman" w:hAnsi="Times New Roman"/>
          <w:sz w:val="18"/>
          <w:szCs w:val="18"/>
          <w:color w:val="auto"/>
        </w:rPr>
        <w:t>” shall mean the EV Program milestones and deliverables required to be achieved by the Company before funding of each of the Second Tranche Preferred Purchase and the Third Tranche Preferred Purchase.</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means, collectively, the Initial Purchase, the Subsequent Common Purchase, the Second Tranche Preferred Purchase and the Third Tranche Preferred Purchase.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Initial Purchase Price, the Subsequent Common Purchase Price and the Subsequent Preferred Purchase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that certain Registration Rights Agreement to be entered into by the Company and the Investor on the Initial Closing Date, the form of which is set forth as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hereto, as it may be amended, supplemented or otherwise modified.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has the meaning set forth in the Registration Rights Agreement.</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its officers, directors, principals, partners, managers, members, employees, consultants, agents, financial advisors, investment bankers, attorneys, accountants, other advisors, Affiliates and other representatives.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Investor Board Seat Fall-Awa</w:t>
      </w:r>
      <w:r>
        <w:rPr>
          <w:rFonts w:ascii="Times New Roman" w:cs="Times New Roman" w:eastAsia="Times New Roman" w:hAnsi="Times New Roman"/>
          <w:sz w:val="18"/>
          <w:szCs w:val="18"/>
          <w:color w:val="auto"/>
        </w:rPr>
        <w:t>y” means the first day on which the 25% Beneficial Ownership Requirement is not satisfied.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 means Section 721 of the Defense Production Act of 1950, as amended, and regulations that implement such provision.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means any corporation, limited liability company, partnership, association, trust or other entity of which (x) securities or other ownership interests representing more than 50% of the ordinary voting power (or, in the case of a partnership, more than 50% of the general partnership interests) or (y)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United States federal, state, local or non-United States taxes, fees, levies, duties, tariffs, imposts, and other similar charges (together with any and all interest, penalties and additions to tax) imposed by any Governmental Authority, including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 added or gains taxes; license, registration and documentation fees; and customs duties, tariffs and similar charges, together with any interest or penalty, in addition to tax or additional amount imposed by any Governmental Authority.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reports, claims for refund, declarations of estimated Taxes and information statements, including any schedule or attachment thereto or any amendment thereof, with respect to Taxes filed or required to be filed with any Governmental Authority, including consolidated, combined and unitary tax returns.</w:t>
      </w:r>
    </w:p>
    <w:p>
      <w:pPr>
        <w:spacing w:after="0" w:line="17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Certificate of Designations, the Registration Rights Agreement and all other documents, certificates or agreements executed in connection with the transactions contemplated by this Agreement, the Certificate of Designations and the Registration Rights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Purchase and the other transactions contemplated by this Agreement and the other Transaction Documents.</w:t>
      </w:r>
    </w:p>
    <w:p>
      <w:pPr>
        <w:spacing w:after="0" w:line="225" w:lineRule="exact"/>
        <w:rPr>
          <w:sz w:val="20"/>
          <w:szCs w:val="20"/>
          <w:color w:val="auto"/>
        </w:rPr>
      </w:pPr>
    </w:p>
    <w:p>
      <w:pPr>
        <w:ind w:left="2060" w:hanging="756"/>
        <w:spacing w:after="0"/>
        <w:tabs>
          <w:tab w:leader="none" w:pos="20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terms defined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the following terms have the meanings assigned thereto in the Sections 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below:</w:t>
      </w:r>
      <w:r>
        <w:rPr>
          <w:rFonts w:ascii="Times New Roman" w:cs="Times New Roman" w:eastAsia="Times New Roman" w:hAnsi="Times New Roman"/>
          <w:sz w:val="29"/>
          <w:szCs w:val="29"/>
          <w:color w:val="auto"/>
          <w:vertAlign w:val="superscript"/>
        </w:rPr>
        <w:t>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480" w:type="dxa"/>
            <w:vAlign w:val="bottom"/>
          </w:tcPr>
          <w:p>
            <w:pPr>
              <w:spacing w:after="0"/>
              <w:rPr>
                <w:sz w:val="17"/>
                <w:szCs w:val="17"/>
                <w:color w:val="auto"/>
              </w:rPr>
            </w:pPr>
          </w:p>
        </w:tc>
        <w:tc>
          <w:tcPr>
            <w:tcW w:w="120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Section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Action</w:t>
            </w: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9560" w:type="dxa"/>
            <w:vAlign w:val="bottom"/>
            <w:gridSpan w:val="2"/>
            <w:vMerge w:val="continue"/>
          </w:tcPr>
          <w:p>
            <w:pPr>
              <w:spacing w:after="0"/>
              <w:rPr>
                <w:sz w:val="14"/>
                <w:szCs w:val="14"/>
                <w:color w:val="auto"/>
              </w:rPr>
            </w:pPr>
          </w:p>
        </w:tc>
        <w:tc>
          <w:tcPr>
            <w:tcW w:w="680" w:type="dxa"/>
            <w:vAlign w:val="bottom"/>
            <w:gridSpan w:val="5"/>
          </w:tcPr>
          <w:p>
            <w:pPr>
              <w:spacing w:after="0"/>
              <w:rPr>
                <w:sz w:val="14"/>
                <w:szCs w:val="14"/>
                <w:color w:val="auto"/>
              </w:rPr>
            </w:pPr>
          </w:p>
        </w:tc>
        <w:tc>
          <w:tcPr>
            <w:tcW w:w="32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80" w:type="dxa"/>
            <w:vAlign w:val="bottom"/>
          </w:tcPr>
          <w:p>
            <w:pPr>
              <w:spacing w:after="0"/>
              <w:rPr>
                <w:sz w:val="18"/>
                <w:szCs w:val="18"/>
                <w:color w:val="auto"/>
              </w:rPr>
            </w:pPr>
          </w:p>
        </w:tc>
        <w:tc>
          <w:tcPr>
            <w:tcW w:w="120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Preamble</w:t>
            </w:r>
          </w:p>
        </w:tc>
        <w:tc>
          <w:tcPr>
            <w:tcW w:w="0" w:type="dxa"/>
            <w:vAlign w:val="bottom"/>
          </w:tcPr>
          <w:p>
            <w:pPr>
              <w:spacing w:after="0"/>
              <w:rPr>
                <w:sz w:val="1"/>
                <w:szCs w:val="1"/>
                <w:color w:val="auto"/>
              </w:rPr>
            </w:pPr>
          </w:p>
        </w:tc>
      </w:tr>
      <w:tr>
        <w:trPr>
          <w:trHeight w:val="194"/>
        </w:trPr>
        <w:tc>
          <w:tcPr>
            <w:tcW w:w="9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Balance Sheet Date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05c)</w:t>
            </w:r>
          </w:p>
        </w:tc>
        <w:tc>
          <w:tcPr>
            <w:tcW w:w="6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Bankruptcy and Equity Exception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03(a)</w:t>
            </w: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Capitalization Date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02(a)</w:t>
            </w: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Designations</w:t>
            </w:r>
          </w:p>
        </w:tc>
        <w:tc>
          <w:tcPr>
            <w:tcW w:w="480" w:type="dxa"/>
            <w:vAlign w:val="bottom"/>
          </w:tcPr>
          <w:p>
            <w:pPr>
              <w:spacing w:after="0"/>
              <w:rPr>
                <w:sz w:val="18"/>
                <w:szCs w:val="18"/>
                <w:color w:val="auto"/>
              </w:rPr>
            </w:pPr>
          </w:p>
        </w:tc>
        <w:tc>
          <w:tcPr>
            <w:tcW w:w="1200" w:type="dxa"/>
            <w:vAlign w:val="bottom"/>
            <w:gridSpan w:val="10"/>
          </w:tcPr>
          <w:p>
            <w:pPr>
              <w:jc w:val="center"/>
              <w:ind w:right="460"/>
              <w:spacing w:after="0"/>
              <w:rPr>
                <w:sz w:val="20"/>
                <w:szCs w:val="20"/>
                <w:color w:val="auto"/>
              </w:rPr>
            </w:pPr>
            <w:r>
              <w:rPr>
                <w:rFonts w:ascii="Times New Roman" w:cs="Times New Roman" w:eastAsia="Times New Roman" w:hAnsi="Times New Roman"/>
                <w:sz w:val="18"/>
                <w:szCs w:val="18"/>
                <w:color w:val="auto"/>
                <w:w w:val="99"/>
              </w:rPr>
              <w:t>Recitals</w:t>
            </w:r>
          </w:p>
        </w:tc>
        <w:tc>
          <w:tcPr>
            <w:tcW w:w="0" w:type="dxa"/>
            <w:vAlign w:val="bottom"/>
          </w:tcPr>
          <w:p>
            <w:pPr>
              <w:spacing w:after="0"/>
              <w:rPr>
                <w:sz w:val="1"/>
                <w:szCs w:val="1"/>
                <w:color w:val="auto"/>
              </w:rPr>
            </w:pPr>
          </w:p>
        </w:tc>
      </w:tr>
      <w:tr>
        <w:trPr>
          <w:trHeight w:val="194"/>
        </w:trPr>
        <w:tc>
          <w:tcPr>
            <w:tcW w:w="9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Closing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8"/>
          </w:tcPr>
          <w:p>
            <w:pPr>
              <w:jc w:val="center"/>
              <w:ind w:right="580"/>
              <w:spacing w:after="0" w:line="194"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18"/>
                <w:szCs w:val="18"/>
                <w:color w:val="auto"/>
              </w:rPr>
            </w:pPr>
          </w:p>
        </w:tc>
        <w:tc>
          <w:tcPr>
            <w:tcW w:w="120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Preamble</w:t>
            </w:r>
          </w:p>
        </w:tc>
        <w:tc>
          <w:tcPr>
            <w:tcW w:w="0" w:type="dxa"/>
            <w:vAlign w:val="bottom"/>
          </w:tcPr>
          <w:p>
            <w:pPr>
              <w:spacing w:after="0"/>
              <w:rPr>
                <w:sz w:val="1"/>
                <w:szCs w:val="1"/>
                <w:color w:val="auto"/>
              </w:rPr>
            </w:pPr>
          </w:p>
        </w:tc>
      </w:tr>
      <w:tr>
        <w:trPr>
          <w:trHeight w:val="194"/>
        </w:trPr>
        <w:tc>
          <w:tcPr>
            <w:tcW w:w="9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Company Disclosure Letter</w:t>
            </w:r>
          </w:p>
        </w:tc>
        <w:tc>
          <w:tcPr>
            <w:tcW w:w="480" w:type="dxa"/>
            <w:vAlign w:val="bottom"/>
          </w:tcPr>
          <w:p>
            <w:pPr>
              <w:spacing w:after="0"/>
              <w:rPr>
                <w:sz w:val="16"/>
                <w:szCs w:val="16"/>
                <w:color w:val="auto"/>
              </w:rPr>
            </w:pPr>
          </w:p>
        </w:tc>
        <w:tc>
          <w:tcPr>
            <w:tcW w:w="1200" w:type="dxa"/>
            <w:vAlign w:val="bottom"/>
            <w:gridSpan w:val="10"/>
          </w:tcPr>
          <w:p>
            <w:pPr>
              <w:jc w:val="center"/>
              <w:ind w:right="480"/>
              <w:spacing w:after="0" w:line="194" w:lineRule="exact"/>
              <w:rPr>
                <w:sz w:val="20"/>
                <w:szCs w:val="20"/>
                <w:color w:val="auto"/>
              </w:rPr>
            </w:pPr>
            <w:r>
              <w:rPr>
                <w:rFonts w:ascii="Times New Roman" w:cs="Times New Roman" w:eastAsia="Times New Roman" w:hAnsi="Times New Roman"/>
                <w:sz w:val="18"/>
                <w:szCs w:val="18"/>
                <w:color w:val="auto"/>
                <w:w w:val="99"/>
              </w:rPr>
              <w:t>Article III</w:t>
            </w: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Preferred Stock</w:t>
            </w: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7"/>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02(a)</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SEC Documents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05(a)</w:t>
            </w: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3.</w:t>
            </w:r>
            <w:r>
              <w:rPr>
                <w:rFonts w:ascii="Times New Roman" w:cs="Times New Roman" w:eastAsia="Times New Roman" w:hAnsi="Times New Roman"/>
                <w:sz w:val="18"/>
                <w:szCs w:val="18"/>
                <w:u w:val="single" w:color="auto"/>
                <w:color w:val="auto"/>
                <w:w w:val="98"/>
              </w:rPr>
              <w:t>02(b)</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Confidential Information</w:t>
            </w:r>
          </w:p>
        </w:tc>
        <w:tc>
          <w:tcPr>
            <w:tcW w:w="680" w:type="dxa"/>
            <w:vAlign w:val="bottom"/>
            <w:gridSpan w:val="5"/>
          </w:tcPr>
          <w:p>
            <w:pPr>
              <w:spacing w:after="0"/>
              <w:rPr>
                <w:sz w:val="17"/>
                <w:szCs w:val="17"/>
                <w:color w:val="auto"/>
              </w:rPr>
            </w:pPr>
          </w:p>
        </w:tc>
        <w:tc>
          <w:tcPr>
            <w:tcW w:w="3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Contract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3.</w:t>
            </w:r>
            <w:r>
              <w:rPr>
                <w:rFonts w:ascii="Times New Roman" w:cs="Times New Roman" w:eastAsia="Times New Roman" w:hAnsi="Times New Roman"/>
                <w:sz w:val="18"/>
                <w:szCs w:val="18"/>
                <w:u w:val="single" w:color="auto"/>
                <w:color w:val="auto"/>
                <w:w w:val="98"/>
              </w:rPr>
              <w:t>03(b)</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Draft CFIUS Notice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5.</w:t>
            </w:r>
            <w:r>
              <w:rPr>
                <w:rFonts w:ascii="Times New Roman" w:cs="Times New Roman" w:eastAsia="Times New Roman" w:hAnsi="Times New Roman"/>
                <w:sz w:val="18"/>
                <w:szCs w:val="18"/>
                <w:u w:val="single" w:color="auto"/>
                <w:color w:val="auto"/>
                <w:w w:val="98"/>
              </w:rPr>
              <w:t>02(b)</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Environmental Laws</w:t>
            </w:r>
          </w:p>
        </w:tc>
        <w:tc>
          <w:tcPr>
            <w:tcW w:w="680" w:type="dxa"/>
            <w:vAlign w:val="bottom"/>
            <w:gridSpan w:val="5"/>
          </w:tcPr>
          <w:p>
            <w:pPr>
              <w:spacing w:after="0"/>
              <w:rPr>
                <w:sz w:val="17"/>
                <w:szCs w:val="17"/>
                <w:color w:val="auto"/>
              </w:rPr>
            </w:pPr>
          </w:p>
        </w:tc>
        <w:tc>
          <w:tcPr>
            <w:tcW w:w="3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Excluded Issuance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5.</w:t>
            </w:r>
            <w:r>
              <w:rPr>
                <w:rFonts w:ascii="Times New Roman" w:cs="Times New Roman" w:eastAsia="Times New Roman" w:hAnsi="Times New Roman"/>
                <w:sz w:val="18"/>
                <w:szCs w:val="18"/>
                <w:u w:val="single" w:color="auto"/>
                <w:color w:val="auto"/>
                <w:w w:val="97"/>
              </w:rPr>
              <w:t>14(a)</w:t>
            </w: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Filed SEC Documents</w:t>
            </w:r>
          </w:p>
        </w:tc>
        <w:tc>
          <w:tcPr>
            <w:tcW w:w="480" w:type="dxa"/>
            <w:vAlign w:val="bottom"/>
          </w:tcPr>
          <w:p>
            <w:pPr>
              <w:spacing w:after="0"/>
              <w:rPr>
                <w:sz w:val="17"/>
                <w:szCs w:val="17"/>
                <w:color w:val="auto"/>
              </w:rPr>
            </w:pPr>
          </w:p>
        </w:tc>
        <w:tc>
          <w:tcPr>
            <w:tcW w:w="1200" w:type="dxa"/>
            <w:vAlign w:val="bottom"/>
            <w:gridSpan w:val="10"/>
          </w:tcPr>
          <w:p>
            <w:pPr>
              <w:jc w:val="center"/>
              <w:ind w:right="480"/>
              <w:spacing w:after="0" w:line="196" w:lineRule="exact"/>
              <w:rPr>
                <w:sz w:val="20"/>
                <w:szCs w:val="20"/>
                <w:color w:val="auto"/>
              </w:rPr>
            </w:pPr>
            <w:r>
              <w:rPr>
                <w:rFonts w:ascii="Times New Roman" w:cs="Times New Roman" w:eastAsia="Times New Roman" w:hAnsi="Times New Roman"/>
                <w:sz w:val="18"/>
                <w:szCs w:val="18"/>
                <w:color w:val="auto"/>
                <w:w w:val="99"/>
              </w:rPr>
              <w:t>Article III</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0"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Note to Draft: To be updated once Agreement is final.</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Section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Initial Acquired Shares</w:t>
            </w:r>
          </w:p>
        </w:tc>
        <w:tc>
          <w:tcPr>
            <w:tcW w:w="52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280" w:type="dxa"/>
            <w:vAlign w:val="bottom"/>
            <w:gridSpan w:val="2"/>
            <w:vMerge w:val="continue"/>
          </w:tcPr>
          <w:p>
            <w:pPr>
              <w:spacing w:after="0"/>
              <w:rPr>
                <w:sz w:val="14"/>
                <w:szCs w:val="14"/>
                <w:color w:val="auto"/>
              </w:rPr>
            </w:pPr>
          </w:p>
        </w:tc>
        <w:tc>
          <w:tcPr>
            <w:tcW w:w="5280" w:type="dxa"/>
            <w:vAlign w:val="bottom"/>
            <w:vMerge w:val="continue"/>
          </w:tcPr>
          <w:p>
            <w:pPr>
              <w:spacing w:after="0"/>
              <w:rPr>
                <w:sz w:val="14"/>
                <w:szCs w:val="14"/>
                <w:color w:val="auto"/>
              </w:rPr>
            </w:pPr>
          </w:p>
        </w:tc>
        <w:tc>
          <w:tcPr>
            <w:tcW w:w="680" w:type="dxa"/>
            <w:vAlign w:val="bottom"/>
            <w:gridSpan w:val="4"/>
          </w:tcPr>
          <w:p>
            <w:pPr>
              <w:spacing w:after="0"/>
              <w:rPr>
                <w:sz w:val="14"/>
                <w:szCs w:val="14"/>
                <w:color w:val="auto"/>
              </w:rPr>
            </w:pPr>
          </w:p>
        </w:tc>
        <w:tc>
          <w:tcPr>
            <w:tcW w:w="320" w:type="dxa"/>
            <w:vAlign w:val="bottom"/>
            <w:tcBorders>
              <w:bottom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Initial Closing</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02(a)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Initial Closing Date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02(a)</w:t>
            </w: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Initial Common Purchase Price</w:t>
            </w:r>
          </w:p>
        </w:tc>
        <w:tc>
          <w:tcPr>
            <w:tcW w:w="5880" w:type="dxa"/>
            <w:vAlign w:val="bottom"/>
            <w:gridSpan w:val="4"/>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01</w:t>
            </w: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Initial Preferred Purchase Price</w:t>
            </w:r>
          </w:p>
        </w:tc>
        <w:tc>
          <w:tcPr>
            <w:tcW w:w="59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Initial Purchase</w:t>
            </w:r>
          </w:p>
        </w:tc>
        <w:tc>
          <w:tcPr>
            <w:tcW w:w="59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Initial Purchase Price</w:t>
            </w:r>
          </w:p>
        </w:tc>
        <w:tc>
          <w:tcPr>
            <w:tcW w:w="59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International Trade Laws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3.</w:t>
            </w:r>
            <w:r>
              <w:rPr>
                <w:rFonts w:ascii="Times New Roman" w:cs="Times New Roman" w:eastAsia="Times New Roman" w:hAnsi="Times New Roman"/>
                <w:sz w:val="18"/>
                <w:szCs w:val="18"/>
                <w:u w:val="single" w:color="auto"/>
                <w:color w:val="auto"/>
                <w:w w:val="98"/>
              </w:rPr>
              <w:t>08(b)</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w:t>
            </w:r>
          </w:p>
        </w:tc>
        <w:tc>
          <w:tcPr>
            <w:tcW w:w="5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color w:val="auto"/>
                <w:w w:val="99"/>
              </w:rPr>
              <w:t>Preamble</w:t>
            </w:r>
          </w:p>
        </w:tc>
        <w:tc>
          <w:tcPr>
            <w:tcW w:w="0" w:type="dxa"/>
            <w:vAlign w:val="bottom"/>
          </w:tcPr>
          <w:p>
            <w:pPr>
              <w:spacing w:after="0"/>
              <w:rPr>
                <w:sz w:val="1"/>
                <w:szCs w:val="1"/>
                <w:color w:val="auto"/>
              </w:rPr>
            </w:pPr>
          </w:p>
        </w:tc>
      </w:tr>
      <w:tr>
        <w:trPr>
          <w:trHeight w:val="194"/>
        </w:trPr>
        <w:tc>
          <w:tcPr>
            <w:tcW w:w="4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IRS</w:t>
            </w:r>
          </w:p>
        </w:tc>
        <w:tc>
          <w:tcPr>
            <w:tcW w:w="6280" w:type="dxa"/>
            <w:vAlign w:val="bottom"/>
            <w:gridSpan w:val="7"/>
          </w:tcPr>
          <w:p>
            <w:pPr>
              <w:jc w:val="center"/>
              <w:ind w:left="5870"/>
              <w:spacing w:after="0" w:line="194" w:lineRule="exact"/>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Judgments</w:t>
            </w:r>
          </w:p>
        </w:tc>
        <w:tc>
          <w:tcPr>
            <w:tcW w:w="59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Laws</w:t>
            </w:r>
          </w:p>
        </w:tc>
        <w:tc>
          <w:tcPr>
            <w:tcW w:w="59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OFAC</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3.</w:t>
            </w:r>
            <w:r>
              <w:rPr>
                <w:rFonts w:ascii="Times New Roman" w:cs="Times New Roman" w:eastAsia="Times New Roman" w:hAnsi="Times New Roman"/>
                <w:sz w:val="18"/>
                <w:szCs w:val="18"/>
                <w:u w:val="single" w:color="auto"/>
                <w:color w:val="auto"/>
                <w:w w:val="98"/>
              </w:rPr>
              <w:t>08(b)</w:t>
            </w:r>
          </w:p>
        </w:tc>
        <w:tc>
          <w:tcPr>
            <w:tcW w:w="5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Permits</w:t>
            </w:r>
          </w:p>
        </w:tc>
        <w:tc>
          <w:tcPr>
            <w:tcW w:w="59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Proposed Securities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Borders>
              <w:bottom w:val="single" w:sz="8" w:color="auto"/>
            </w:tcBorders>
            <w:gridSpan w:val="9"/>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13(b)(i)</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Regulatory Material Adverse Effect</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5.</w:t>
            </w:r>
            <w:r>
              <w:rPr>
                <w:rFonts w:ascii="Times New Roman" w:cs="Times New Roman" w:eastAsia="Times New Roman" w:hAnsi="Times New Roman"/>
                <w:sz w:val="18"/>
                <w:szCs w:val="18"/>
                <w:u w:val="single" w:color="auto"/>
                <w:color w:val="auto"/>
                <w:w w:val="97"/>
              </w:rPr>
              <w:t>02(c)</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Restraints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6.</w:t>
            </w:r>
            <w:r>
              <w:rPr>
                <w:rFonts w:ascii="Times New Roman" w:cs="Times New Roman" w:eastAsia="Times New Roman" w:hAnsi="Times New Roman"/>
                <w:sz w:val="18"/>
                <w:szCs w:val="18"/>
                <w:u w:val="single" w:color="auto"/>
                <w:color w:val="auto"/>
                <w:w w:val="97"/>
              </w:rPr>
              <w:t>01(a)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Sanctions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3.</w:t>
            </w:r>
            <w:r>
              <w:rPr>
                <w:rFonts w:ascii="Times New Roman" w:cs="Times New Roman" w:eastAsia="Times New Roman" w:hAnsi="Times New Roman"/>
                <w:sz w:val="18"/>
                <w:szCs w:val="18"/>
                <w:u w:val="single" w:color="auto"/>
                <w:color w:val="auto"/>
                <w:w w:val="98"/>
              </w:rPr>
              <w:t>08(b)</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Sanctioned Jurisdiction</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3.</w:t>
            </w:r>
            <w:r>
              <w:rPr>
                <w:rFonts w:ascii="Times New Roman" w:cs="Times New Roman" w:eastAsia="Times New Roman" w:hAnsi="Times New Roman"/>
                <w:sz w:val="18"/>
                <w:szCs w:val="18"/>
                <w:u w:val="single" w:color="auto"/>
                <w:color w:val="auto"/>
                <w:w w:val="98"/>
              </w:rPr>
              <w:t>08(b)</w:t>
            </w:r>
          </w:p>
        </w:tc>
        <w:tc>
          <w:tcPr>
            <w:tcW w:w="5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Second Preferred Closing</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Second Preferred Closing Date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Second Tranche Preferred Purchase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01(c)</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Second Tranche Preferred Purchase Price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01(c)</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Second Tranche Preferred Shares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01(c)</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5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10"/>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Recitals</w:t>
            </w:r>
          </w:p>
        </w:tc>
        <w:tc>
          <w:tcPr>
            <w:tcW w:w="0" w:type="dxa"/>
            <w:vAlign w:val="bottom"/>
          </w:tcPr>
          <w:p>
            <w:pPr>
              <w:spacing w:after="0"/>
              <w:rPr>
                <w:sz w:val="1"/>
                <w:szCs w:val="1"/>
                <w:color w:val="auto"/>
              </w:rPr>
            </w:pPr>
          </w:p>
        </w:tc>
      </w:tr>
      <w:tr>
        <w:trPr>
          <w:trHeight w:val="194"/>
        </w:trPr>
        <w:tc>
          <w:tcPr>
            <w:tcW w:w="42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Subsequent Common Closing</w:t>
            </w:r>
          </w:p>
        </w:tc>
        <w:tc>
          <w:tcPr>
            <w:tcW w:w="5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8"/>
          </w:tcPr>
          <w:p>
            <w:pPr>
              <w:jc w:val="center"/>
              <w:ind w:right="580"/>
              <w:spacing w:after="0" w:line="194"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03(a)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Common Closing Date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03(a)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Common Purchase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01(b)</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Common Purchase Price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01(b)</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Common Shares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01(b)</w:t>
            </w:r>
          </w:p>
        </w:tc>
        <w:tc>
          <w:tcPr>
            <w:tcW w:w="5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Preferred Closing</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Preferred Closing Dates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Preferred Purchase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01(d)</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Preferred Purchase Price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01(d)</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Subsequent Preferred Shares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01(d)</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Termination Date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8"/>
              </w:rPr>
              <w:t>7.</w:t>
            </w:r>
            <w:r>
              <w:rPr>
                <w:rFonts w:ascii="Times New Roman" w:cs="Times New Roman" w:eastAsia="Times New Roman" w:hAnsi="Times New Roman"/>
                <w:sz w:val="18"/>
                <w:szCs w:val="18"/>
                <w:u w:val="single" w:color="auto"/>
                <w:color w:val="auto"/>
                <w:w w:val="98"/>
              </w:rPr>
              <w:t>01(b)</w:t>
            </w:r>
          </w:p>
        </w:tc>
        <w:tc>
          <w:tcPr>
            <w:tcW w:w="5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Third Preferred Closing</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Third Preferred Closing Date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8"/>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7"/>
              </w:rPr>
              <w:t>2.</w:t>
            </w:r>
            <w:r>
              <w:rPr>
                <w:rFonts w:ascii="Times New Roman" w:cs="Times New Roman" w:eastAsia="Times New Roman" w:hAnsi="Times New Roman"/>
                <w:sz w:val="18"/>
                <w:szCs w:val="18"/>
                <w:u w:val="single" w:color="auto"/>
                <w:color w:val="auto"/>
                <w:w w:val="97"/>
              </w:rPr>
              <w:t>04(a)</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Third Tranche Preferred Purchase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01(d)</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Third Tranche Preferred Purchase Price</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01(d)</w:t>
            </w:r>
          </w:p>
        </w:tc>
        <w:tc>
          <w:tcPr>
            <w:tcW w:w="5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Third Tranche Preferred Shares</w:t>
            </w: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9"/>
          </w:tcPr>
          <w:p>
            <w:pPr>
              <w:jc w:val="center"/>
              <w:ind w:right="580"/>
              <w:spacing w:after="0" w:line="196" w:lineRule="exact"/>
              <w:rPr>
                <w:sz w:val="20"/>
                <w:szCs w:val="20"/>
                <w:color w:val="auto"/>
              </w:rPr>
            </w:pPr>
            <w:r>
              <w:rPr>
                <w:rFonts w:ascii="Times New Roman" w:cs="Times New Roman" w:eastAsia="Times New Roman" w:hAnsi="Times New Roman"/>
                <w:sz w:val="18"/>
                <w:szCs w:val="18"/>
                <w:color w:val="auto"/>
                <w:w w:val="98"/>
              </w:rPr>
              <w:t>2.</w:t>
            </w:r>
            <w:r>
              <w:rPr>
                <w:rFonts w:ascii="Times New Roman" w:cs="Times New Roman" w:eastAsia="Times New Roman" w:hAnsi="Times New Roman"/>
                <w:sz w:val="18"/>
                <w:szCs w:val="18"/>
                <w:u w:val="single" w:color="auto"/>
                <w:color w:val="auto"/>
                <w:w w:val="98"/>
              </w:rPr>
              <w:t>01(d)</w:t>
            </w:r>
          </w:p>
        </w:tc>
        <w:tc>
          <w:tcPr>
            <w:tcW w:w="0" w:type="dxa"/>
            <w:vAlign w:val="bottom"/>
          </w:tcPr>
          <w:p>
            <w:pPr>
              <w:spacing w:after="0"/>
              <w:rPr>
                <w:sz w:val="1"/>
                <w:szCs w:val="1"/>
                <w:color w:val="auto"/>
              </w:rPr>
            </w:pPr>
          </w:p>
        </w:tc>
      </w:tr>
      <w:tr>
        <w:trPr>
          <w:trHeight w:val="668"/>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Purchase and Sale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firstLine="1304"/>
        <w:spacing w:after="0" w:line="268" w:lineRule="auto"/>
        <w:tabs>
          <w:tab w:leader="none" w:pos="20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at the Initial Closing, the Investor shall purchase and acquire from the Company, and the Company shall issue, sell and deliver to the Investor, (i) 12,917,274 shares of Common Stock (the “</w:t>
      </w:r>
      <w:r>
        <w:rPr>
          <w:rFonts w:ascii="Times New Roman" w:cs="Times New Roman" w:eastAsia="Times New Roman" w:hAnsi="Times New Roman"/>
          <w:sz w:val="17"/>
          <w:szCs w:val="17"/>
          <w:u w:val="single" w:color="auto"/>
          <w:color w:val="auto"/>
        </w:rPr>
        <w:t>Initial Common Shares</w:t>
      </w:r>
      <w:r>
        <w:rPr>
          <w:rFonts w:ascii="Times New Roman" w:cs="Times New Roman" w:eastAsia="Times New Roman" w:hAnsi="Times New Roman"/>
          <w:sz w:val="17"/>
          <w:szCs w:val="17"/>
          <w:color w:val="auto"/>
        </w:rPr>
        <w:t>”) for a purchase price per share equal to $1.76 and an aggregate purchase price for the Initial Common Shares of $22,734,402 (such aggregate purchase price, the “</w:t>
      </w:r>
      <w:r>
        <w:rPr>
          <w:rFonts w:ascii="Times New Roman" w:cs="Times New Roman" w:eastAsia="Times New Roman" w:hAnsi="Times New Roman"/>
          <w:sz w:val="17"/>
          <w:szCs w:val="17"/>
          <w:u w:val="single" w:color="auto"/>
          <w:color w:val="auto"/>
        </w:rPr>
        <w:t>Initial Common Purchase Price</w:t>
      </w:r>
      <w:r>
        <w:rPr>
          <w:rFonts w:ascii="Times New Roman" w:cs="Times New Roman" w:eastAsia="Times New Roman" w:hAnsi="Times New Roman"/>
          <w:sz w:val="17"/>
          <w:szCs w:val="17"/>
          <w:color w:val="auto"/>
        </w:rPr>
        <w:t>”) and (ii) 300,000 shares of Series A Preferred Stock (the “</w:t>
      </w:r>
      <w:r>
        <w:rPr>
          <w:rFonts w:ascii="Times New Roman" w:cs="Times New Roman" w:eastAsia="Times New Roman" w:hAnsi="Times New Roman"/>
          <w:sz w:val="17"/>
          <w:szCs w:val="17"/>
          <w:u w:val="single" w:color="auto"/>
          <w:color w:val="auto"/>
        </w:rPr>
        <w:t>Initial Preferred Shares</w:t>
      </w:r>
      <w:r>
        <w:rPr>
          <w:rFonts w:ascii="Times New Roman" w:cs="Times New Roman" w:eastAsia="Times New Roman" w:hAnsi="Times New Roman"/>
          <w:sz w:val="17"/>
          <w:szCs w:val="17"/>
          <w:color w:val="auto"/>
        </w:rPr>
        <w:t>”, together with the Initial Common Shares, the “</w:t>
      </w:r>
      <w:r>
        <w:rPr>
          <w:rFonts w:ascii="Times New Roman" w:cs="Times New Roman" w:eastAsia="Times New Roman" w:hAnsi="Times New Roman"/>
          <w:sz w:val="17"/>
          <w:szCs w:val="17"/>
          <w:u w:val="single" w:color="auto"/>
          <w:color w:val="auto"/>
        </w:rPr>
        <w:t>Initial Acquired Shares</w:t>
      </w:r>
      <w:r>
        <w:rPr>
          <w:rFonts w:ascii="Times New Roman" w:cs="Times New Roman" w:eastAsia="Times New Roman" w:hAnsi="Times New Roman"/>
          <w:sz w:val="17"/>
          <w:szCs w:val="17"/>
          <w:color w:val="auto"/>
        </w:rPr>
        <w:t>”) for a purchase price per share equal to $100 and an aggregate purchase price for the Initial Preferred Shares of $30,000,000 (such aggregate purchase price, the “</w:t>
      </w:r>
      <w:r>
        <w:rPr>
          <w:rFonts w:ascii="Times New Roman" w:cs="Times New Roman" w:eastAsia="Times New Roman" w:hAnsi="Times New Roman"/>
          <w:sz w:val="17"/>
          <w:szCs w:val="17"/>
          <w:u w:val="single" w:color="auto"/>
          <w:color w:val="auto"/>
        </w:rPr>
        <w:t>Initial Preferred Purchase Price</w:t>
      </w:r>
      <w:r>
        <w:rPr>
          <w:rFonts w:ascii="Times New Roman" w:cs="Times New Roman" w:eastAsia="Times New Roman" w:hAnsi="Times New Roman"/>
          <w:sz w:val="17"/>
          <w:szCs w:val="17"/>
          <w:color w:val="auto"/>
        </w:rPr>
        <w:t>”). The aggregate purchase price for the Initial Acquired Shares shall be $52,734,402 (such aggregate purchase price, the “</w:t>
      </w:r>
      <w:r>
        <w:rPr>
          <w:rFonts w:ascii="Times New Roman" w:cs="Times New Roman" w:eastAsia="Times New Roman" w:hAnsi="Times New Roman"/>
          <w:sz w:val="17"/>
          <w:szCs w:val="17"/>
          <w:u w:val="single" w:color="auto"/>
          <w:color w:val="auto"/>
        </w:rPr>
        <w:t>Initial Purchase Price</w:t>
      </w:r>
      <w:r>
        <w:rPr>
          <w:rFonts w:ascii="Times New Roman" w:cs="Times New Roman" w:eastAsia="Times New Roman" w:hAnsi="Times New Roman"/>
          <w:sz w:val="17"/>
          <w:szCs w:val="17"/>
          <w:color w:val="auto"/>
        </w:rPr>
        <w:t>”). The purchase and sale of the Initial Acquired Shares pursuant to this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Initial Purchase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7"/>
          <w:szCs w:val="17"/>
          <w:color w:val="auto"/>
        </w:rPr>
      </w:pPr>
    </w:p>
    <w:p>
      <w:pPr>
        <w:ind w:right="40" w:firstLine="1304"/>
        <w:spacing w:after="0" w:line="256" w:lineRule="auto"/>
        <w:tabs>
          <w:tab w:leader="none" w:pos="20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at the Subsequent Common Closing, the Investor shall purchase and acquire from the Company, and the Company shall issue, sell and deliver to the Investor, 26,855,453 shares of Common Stock (the “</w:t>
      </w:r>
      <w:r>
        <w:rPr>
          <w:rFonts w:ascii="Times New Roman" w:cs="Times New Roman" w:eastAsia="Times New Roman" w:hAnsi="Times New Roman"/>
          <w:sz w:val="18"/>
          <w:szCs w:val="18"/>
          <w:u w:val="single" w:color="auto"/>
          <w:color w:val="auto"/>
        </w:rPr>
        <w:t>Subsequent Common Shares</w:t>
      </w:r>
      <w:r>
        <w:rPr>
          <w:rFonts w:ascii="Times New Roman" w:cs="Times New Roman" w:eastAsia="Times New Roman" w:hAnsi="Times New Roman"/>
          <w:sz w:val="18"/>
          <w:szCs w:val="18"/>
          <w:color w:val="auto"/>
        </w:rPr>
        <w:t>”) for a purchase price per share equal to $1.76 and an aggregate purchase price for the Subsequent Common Shares of $47,265,597 (such aggregate purchase price, the “</w:t>
      </w:r>
      <w:r>
        <w:rPr>
          <w:rFonts w:ascii="Times New Roman" w:cs="Times New Roman" w:eastAsia="Times New Roman" w:hAnsi="Times New Roman"/>
          <w:sz w:val="18"/>
          <w:szCs w:val="18"/>
          <w:u w:val="single" w:color="auto"/>
          <w:color w:val="auto"/>
        </w:rPr>
        <w:t>Subsequent Common Purchase Price</w:t>
      </w:r>
      <w:r>
        <w:rPr>
          <w:rFonts w:ascii="Times New Roman" w:cs="Times New Roman" w:eastAsia="Times New Roman" w:hAnsi="Times New Roman"/>
          <w:sz w:val="18"/>
          <w:szCs w:val="18"/>
          <w:color w:val="auto"/>
        </w:rPr>
        <w:t xml:space="preserve">”). The purchase and sale of the Subsequent Common Shares pursuant to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Subsequent Common Purchase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20" w:firstLine="1304"/>
        <w:spacing w:after="0" w:line="256" w:lineRule="auto"/>
        <w:tabs>
          <w:tab w:leader="none" w:pos="20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at the Second Preferred Closing, the Investor shall purchase and acquire from the Company, and the Company shall issue, sell and deliver to the Investor, 300,000 shares of Series A Preferred Stock (the “</w:t>
      </w:r>
      <w:r>
        <w:rPr>
          <w:rFonts w:ascii="Times New Roman" w:cs="Times New Roman" w:eastAsia="Times New Roman" w:hAnsi="Times New Roman"/>
          <w:sz w:val="18"/>
          <w:szCs w:val="18"/>
          <w:u w:val="single" w:color="auto"/>
          <w:color w:val="auto"/>
        </w:rPr>
        <w:t>Second Tranche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 purchase price per share equal to $100 and an aggregate purchase price for the Second Tranche Preferred Shares of $30,000,000 (such aggregate purchase price, the “</w:t>
      </w:r>
      <w:r>
        <w:rPr>
          <w:rFonts w:ascii="Times New Roman" w:cs="Times New Roman" w:eastAsia="Times New Roman" w:hAnsi="Times New Roman"/>
          <w:sz w:val="18"/>
          <w:szCs w:val="18"/>
          <w:u w:val="single" w:color="auto"/>
          <w:color w:val="auto"/>
        </w:rPr>
        <w:t>Second Tranche Preferred Purchase Price</w:t>
      </w:r>
      <w:r>
        <w:rPr>
          <w:rFonts w:ascii="Times New Roman" w:cs="Times New Roman" w:eastAsia="Times New Roman" w:hAnsi="Times New Roman"/>
          <w:sz w:val="18"/>
          <w:szCs w:val="18"/>
          <w:color w:val="auto"/>
        </w:rPr>
        <w:t xml:space="preserve">”). The purchase and sale of the Second Tranche Preferred Shares pursuant to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Second Tranche Preferred Purchase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54" w:lineRule="auto"/>
        <w:tabs>
          <w:tab w:leader="none" w:pos="20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at the Third Preferred Closing, the Investor shall purchase and acquire from the Company, and the Company shall issue, sell and deliver to the Investor, 400,000 shares of Series A Preferred Stock (the “</w:t>
      </w:r>
      <w:r>
        <w:rPr>
          <w:rFonts w:ascii="Times New Roman" w:cs="Times New Roman" w:eastAsia="Times New Roman" w:hAnsi="Times New Roman"/>
          <w:sz w:val="18"/>
          <w:szCs w:val="18"/>
          <w:u w:val="single" w:color="auto"/>
          <w:color w:val="auto"/>
        </w:rPr>
        <w:t>Third Tranche Preferred Shares</w:t>
      </w:r>
      <w:r>
        <w:rPr>
          <w:rFonts w:ascii="Times New Roman" w:cs="Times New Roman" w:eastAsia="Times New Roman" w:hAnsi="Times New Roman"/>
          <w:sz w:val="18"/>
          <w:szCs w:val="18"/>
          <w:color w:val="auto"/>
        </w:rPr>
        <w:t>”, together with the Second Tranche Preferred Shares, the “</w:t>
      </w:r>
      <w:r>
        <w:rPr>
          <w:rFonts w:ascii="Times New Roman" w:cs="Times New Roman" w:eastAsia="Times New Roman" w:hAnsi="Times New Roman"/>
          <w:sz w:val="18"/>
          <w:szCs w:val="18"/>
          <w:u w:val="single" w:color="auto"/>
          <w:color w:val="auto"/>
        </w:rPr>
        <w:t>Subsequent Preferred Shares</w:t>
      </w:r>
      <w:r>
        <w:rPr>
          <w:rFonts w:ascii="Times New Roman" w:cs="Times New Roman" w:eastAsia="Times New Roman" w:hAnsi="Times New Roman"/>
          <w:sz w:val="18"/>
          <w:szCs w:val="18"/>
          <w:color w:val="auto"/>
        </w:rPr>
        <w:t>”) for a purchase price per share equal to $100 and an aggregate purchase price for the Third Tranche Preferred Shares of $40,000,000 (such aggregate purchase price, the “</w:t>
      </w:r>
      <w:r>
        <w:rPr>
          <w:rFonts w:ascii="Times New Roman" w:cs="Times New Roman" w:eastAsia="Times New Roman" w:hAnsi="Times New Roman"/>
          <w:sz w:val="18"/>
          <w:szCs w:val="18"/>
          <w:u w:val="single" w:color="auto"/>
          <w:color w:val="auto"/>
        </w:rPr>
        <w:t>Third Tranche Preferred Purchase Price</w:t>
      </w:r>
      <w:r>
        <w:rPr>
          <w:rFonts w:ascii="Times New Roman" w:cs="Times New Roman" w:eastAsia="Times New Roman" w:hAnsi="Times New Roman"/>
          <w:sz w:val="18"/>
          <w:szCs w:val="18"/>
          <w:color w:val="auto"/>
        </w:rPr>
        <w:t>”, together with the Second Tranche Preferred Purchase Price, the “</w:t>
      </w:r>
      <w:r>
        <w:rPr>
          <w:rFonts w:ascii="Times New Roman" w:cs="Times New Roman" w:eastAsia="Times New Roman" w:hAnsi="Times New Roman"/>
          <w:sz w:val="18"/>
          <w:szCs w:val="18"/>
          <w:u w:val="single" w:color="auto"/>
          <w:color w:val="auto"/>
        </w:rPr>
        <w:t>Subsequent Preferred Purchase Price</w:t>
      </w:r>
      <w:r>
        <w:rPr>
          <w:rFonts w:ascii="Times New Roman" w:cs="Times New Roman" w:eastAsia="Times New Roman" w:hAnsi="Times New Roman"/>
          <w:sz w:val="18"/>
          <w:szCs w:val="18"/>
          <w:color w:val="auto"/>
        </w:rPr>
        <w:t xml:space="preserve">”). The purchase and sale of the Third Tranche Preferred Shares pursuant to this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Third Tranche Preferred Purchase</w:t>
      </w:r>
      <w:r>
        <w:rPr>
          <w:rFonts w:ascii="Times New Roman" w:cs="Times New Roman" w:eastAsia="Times New Roman" w:hAnsi="Times New Roman"/>
          <w:sz w:val="18"/>
          <w:szCs w:val="18"/>
          <w:color w:val="auto"/>
        </w:rPr>
        <w:t>” (and together with the Second Tranche Preferred Purchase, the “</w:t>
      </w:r>
      <w:r>
        <w:rPr>
          <w:rFonts w:ascii="Times New Roman" w:cs="Times New Roman" w:eastAsia="Times New Roman" w:hAnsi="Times New Roman"/>
          <w:sz w:val="18"/>
          <w:szCs w:val="18"/>
          <w:u w:val="single" w:color="auto"/>
          <w:color w:val="auto"/>
        </w:rPr>
        <w:t>Subsequent Preferred Purchase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8" w:name="page59"/>
    <w:bookmarkEnd w:id="58"/>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Initial 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0" w:firstLine="1304"/>
        <w:spacing w:after="0" w:line="254" w:lineRule="auto"/>
        <w:tabs>
          <w:tab w:leader="none" w:pos="20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Initial Purchase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xml:space="preserve">”) shall occur at 10:00 a.m. (New York City time) on November 22,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of the conditions to the Initial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have been satisfied or, to the extent permitted by applicable Law, waived by the party entitled to the benefit thereof (other than those conditions that by their nature are to be satisfied at the Initial Closing, but subject to the satisfaction or waiver of those conditions at such time) on or before such date or if such conditions are not satisfied or waived on or before such date, then on the first Business Day following the satisfaction or, to the extent permitted by applicable Law, waiver of such conditions by the party entitled to the benefit thereof (other than those conditions that by their nature are to be satisfied at the Initial Closing, but subject to the satisfaction or waiver of those conditions at such time). The Initial Closing shall be conducted remotely via the electronic exchange of documents and signatures, or at such other place, time or date as shall be agreed between the Company and the Investor. The date on which the Initial Closing occurs is referred to herein as the “</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Initial Closing:</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66" w:lineRule="auto"/>
        <w:tabs>
          <w:tab w:leader="none" w:pos="265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Investor (1) the Initial Acquired Shares, free and clear of all Liens, except restrictions imposed by the Certificate of Designations, applicable securities Laws and this Agreement and (2) the Registration Rights Agreement, duly executed by the Company; and</w:t>
      </w:r>
    </w:p>
    <w:p>
      <w:pPr>
        <w:spacing w:after="0" w:line="175"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(1) pay the Initial Purchase Price to the Company, by wire transfer in immediately available</w:t>
      </w:r>
    </w:p>
    <w:p>
      <w:pPr>
        <w:spacing w:after="0" w:line="27" w:lineRule="exact"/>
        <w:rPr>
          <w:sz w:val="20"/>
          <w:szCs w:val="20"/>
          <w:color w:val="auto"/>
        </w:rPr>
      </w:pPr>
    </w:p>
    <w:p>
      <w:pPr>
        <w:ind w:left="1300" w:right="720"/>
        <w:spacing w:after="0" w:line="260" w:lineRule="auto"/>
        <w:rPr>
          <w:sz w:val="20"/>
          <w:szCs w:val="20"/>
          <w:color w:val="auto"/>
        </w:rPr>
      </w:pPr>
      <w:r>
        <w:rPr>
          <w:rFonts w:ascii="Times New Roman" w:cs="Times New Roman" w:eastAsia="Times New Roman" w:hAnsi="Times New Roman"/>
          <w:sz w:val="18"/>
          <w:szCs w:val="18"/>
          <w:color w:val="auto"/>
        </w:rPr>
        <w:t>U.S. federal funds, to the account designated by the Company in writing and (2) deliver to the Company the Registration Rights Agreement, duly executed by the Investor.</w:t>
      </w:r>
    </w:p>
    <w:p>
      <w:pPr>
        <w:spacing w:after="0" w:line="18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Subsequent Common 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Subsequent Common Purchase (the “</w:t>
      </w:r>
      <w:r>
        <w:rPr>
          <w:rFonts w:ascii="Times New Roman" w:cs="Times New Roman" w:eastAsia="Times New Roman" w:hAnsi="Times New Roman"/>
          <w:sz w:val="18"/>
          <w:szCs w:val="18"/>
          <w:u w:val="single" w:color="auto"/>
          <w:color w:val="auto"/>
        </w:rPr>
        <w:t>Subsequent Common Closing</w:t>
      </w:r>
      <w:r>
        <w:rPr>
          <w:rFonts w:ascii="Times New Roman" w:cs="Times New Roman" w:eastAsia="Times New Roman" w:hAnsi="Times New Roman"/>
          <w:sz w:val="18"/>
          <w:szCs w:val="18"/>
          <w:color w:val="auto"/>
        </w:rPr>
        <w:t>”) shall</w:t>
      </w:r>
    </w:p>
    <w:p>
      <w:pPr>
        <w:spacing w:after="0" w:line="2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occur at 10:00 a.m. (New York City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all of the conditions to the Subsequent Common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have been satisfied or, to the extent permitted by applicable Law, waived by the party entitled to the benefit thereof (other than those conditions that by their nature are to be satisfied at the Subsequent Common Closing, but subject to the satisfaction or waiver of those conditions at such time) and shall be conducted remotely via the electronic exchange of documents and signatures, or at such other place, time or date as shall be agreed between the Company and the Investor (the date on which the Subsequent Common Closing occurs, the “</w:t>
      </w:r>
      <w:r>
        <w:rPr>
          <w:rFonts w:ascii="Times New Roman" w:cs="Times New Roman" w:eastAsia="Times New Roman" w:hAnsi="Times New Roman"/>
          <w:sz w:val="18"/>
          <w:szCs w:val="18"/>
          <w:u w:val="single" w:color="auto"/>
          <w:color w:val="auto"/>
        </w:rPr>
        <w:t>Subsequent Common 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2060" w:hanging="756"/>
        <w:spacing w:after="0"/>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Subsequent Common Closing:</w:t>
      </w:r>
    </w:p>
    <w:p>
      <w:pPr>
        <w:spacing w:after="0" w:line="225" w:lineRule="exact"/>
        <w:rPr>
          <w:rFonts w:ascii="Times New Roman" w:cs="Times New Roman" w:eastAsia="Times New Roman" w:hAnsi="Times New Roman"/>
          <w:sz w:val="18"/>
          <w:szCs w:val="18"/>
          <w:color w:val="auto"/>
        </w:rPr>
      </w:pPr>
    </w:p>
    <w:p>
      <w:pPr>
        <w:ind w:left="1300" w:right="700" w:firstLine="652"/>
        <w:spacing w:after="0" w:line="282" w:lineRule="auto"/>
        <w:tabs>
          <w:tab w:leader="none" w:pos="265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Investor the Subsequent Common Shares, free and clear of all Liens, except restrictions imposed by the Certificate of Designations, applicable securities Laws and this Agreement; and</w:t>
      </w:r>
    </w:p>
    <w:p>
      <w:pPr>
        <w:spacing w:after="0" w:line="161" w:lineRule="exact"/>
        <w:rPr>
          <w:rFonts w:ascii="Times New Roman" w:cs="Times New Roman" w:eastAsia="Times New Roman" w:hAnsi="Times New Roman"/>
          <w:sz w:val="18"/>
          <w:szCs w:val="18"/>
          <w:color w:val="auto"/>
        </w:rPr>
      </w:pPr>
    </w:p>
    <w:p>
      <w:pPr>
        <w:ind w:left="1300" w:right="460" w:firstLine="652"/>
        <w:spacing w:after="0" w:line="282" w:lineRule="auto"/>
        <w:tabs>
          <w:tab w:leader="none" w:pos="270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pay the Subsequent Common Purchase Price to the Company, by wire transfer in immediately available U.S. federal funds, to the account designated by the Company in writing.</w:t>
      </w:r>
    </w:p>
    <w:p>
      <w:pPr>
        <w:spacing w:after="0" w:line="161" w:lineRule="exact"/>
        <w:rPr>
          <w:rFonts w:ascii="Times New Roman" w:cs="Times New Roman" w:eastAsia="Times New Roman" w:hAnsi="Times New Roman"/>
          <w:sz w:val="18"/>
          <w:szCs w:val="18"/>
          <w:color w:val="auto"/>
        </w:rPr>
      </w:pPr>
    </w:p>
    <w:p>
      <w:pPr>
        <w:ind w:right="840" w:firstLine="1304"/>
        <w:spacing w:after="0" w:line="282" w:lineRule="auto"/>
        <w:tabs>
          <w:tab w:leader="none" w:pos="20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respective obligations of the Company and the Investor to effect the Subsequent Common Purchase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may be terminated at any time prior to the Subsequent Common Closing:</w:t>
      </w:r>
    </w:p>
    <w:p>
      <w:pPr>
        <w:spacing w:after="0" w:line="161" w:lineRule="exact"/>
        <w:rPr>
          <w:rFonts w:ascii="Times New Roman" w:cs="Times New Roman" w:eastAsia="Times New Roman" w:hAnsi="Times New Roman"/>
          <w:sz w:val="18"/>
          <w:szCs w:val="18"/>
          <w:color w:val="auto"/>
        </w:rPr>
      </w:pPr>
    </w:p>
    <w:p>
      <w:pPr>
        <w:ind w:left="1300" w:right="160" w:firstLine="652"/>
        <w:spacing w:after="0" w:line="258" w:lineRule="auto"/>
        <w:tabs>
          <w:tab w:leader="none" w:pos="265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the Investor upon written notice to the other, if the Subsequent Common Closing has not occurred on or prior to the first anniversary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the respective obligations of the Company and the Investor to effect the Subsequent Common Purchase under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shall not be available to any party if the breach by such party of its representations and warranties set forth in this Agreement or the failure of such party to perform any of its obligations under this Agreement has been a principal cause of or resulted in the events specified in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or</w:t>
      </w:r>
    </w:p>
    <w:p>
      <w:pPr>
        <w:spacing w:after="0" w:line="183" w:lineRule="exact"/>
        <w:rPr>
          <w:rFonts w:ascii="Times New Roman" w:cs="Times New Roman" w:eastAsia="Times New Roman" w:hAnsi="Times New Roman"/>
          <w:sz w:val="18"/>
          <w:szCs w:val="18"/>
          <w:color w:val="auto"/>
        </w:rPr>
      </w:pPr>
    </w:p>
    <w:p>
      <w:pPr>
        <w:ind w:left="2720" w:hanging="768"/>
        <w:spacing w:after="0"/>
        <w:tabs>
          <w:tab w:leader="none" w:pos="27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Investor if there shall have been a CFIUS Turndown.</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Subsequent Preferred Closings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304"/>
        <w:spacing w:after="0" w:line="257" w:lineRule="auto"/>
        <w:tabs>
          <w:tab w:leader="none" w:pos="20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Second Tranche Preferred Purchase (the “</w:t>
      </w:r>
      <w:r>
        <w:rPr>
          <w:rFonts w:ascii="Times New Roman" w:cs="Times New Roman" w:eastAsia="Times New Roman" w:hAnsi="Times New Roman"/>
          <w:sz w:val="18"/>
          <w:szCs w:val="18"/>
          <w:u w:val="single" w:color="auto"/>
          <w:color w:val="auto"/>
        </w:rPr>
        <w:t>Second Preferred Closing</w:t>
      </w:r>
      <w:r>
        <w:rPr>
          <w:rFonts w:ascii="Times New Roman" w:cs="Times New Roman" w:eastAsia="Times New Roman" w:hAnsi="Times New Roman"/>
          <w:sz w:val="18"/>
          <w:szCs w:val="18"/>
          <w:color w:val="auto"/>
        </w:rPr>
        <w:t>”) and the Third Tranche Preferred Purchase (the “</w:t>
      </w:r>
      <w:r>
        <w:rPr>
          <w:rFonts w:ascii="Times New Roman" w:cs="Times New Roman" w:eastAsia="Times New Roman" w:hAnsi="Times New Roman"/>
          <w:sz w:val="18"/>
          <w:szCs w:val="18"/>
          <w:u w:val="single" w:color="auto"/>
          <w:color w:val="auto"/>
        </w:rPr>
        <w:t>Third Preferred Closing</w:t>
      </w:r>
      <w:r>
        <w:rPr>
          <w:rFonts w:ascii="Times New Roman" w:cs="Times New Roman" w:eastAsia="Times New Roman" w:hAnsi="Times New Roman"/>
          <w:sz w:val="18"/>
          <w:szCs w:val="18"/>
          <w:color w:val="auto"/>
        </w:rPr>
        <w:t>”, together with the Second Preferred Closing, the “</w:t>
      </w:r>
      <w:r>
        <w:rPr>
          <w:rFonts w:ascii="Times New Roman" w:cs="Times New Roman" w:eastAsia="Times New Roman" w:hAnsi="Times New Roman"/>
          <w:sz w:val="18"/>
          <w:szCs w:val="18"/>
          <w:u w:val="single" w:color="auto"/>
          <w:color w:val="auto"/>
        </w:rPr>
        <w:t>Subsequent Preferred Closings</w:t>
      </w:r>
      <w:r>
        <w:rPr>
          <w:rFonts w:ascii="Times New Roman" w:cs="Times New Roman" w:eastAsia="Times New Roman" w:hAnsi="Times New Roman"/>
          <w:sz w:val="18"/>
          <w:szCs w:val="18"/>
          <w:color w:val="auto"/>
        </w:rPr>
        <w:t>”; Subsequent Preferred Closings together with the Initial Closing and the Subsequent Common Closing, the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at</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10:00 a.m. (New York City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all of the conditions to the Second Preferred Closing or the Third Preferred Closing, as applicable,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have been satisfied or, to the extent permitted by applicable Law, waived by the party entitled to the benefit thereof (other than those conditions that by their nature are to be satisfied at such Subsequent Preferred Closing, but subject to the satisfaction or waiver of those conditions at such time) and shall be conducted remotely via the electronic exchange of documents and signatures, or at such other place, time or date as shall be agreed between the Company and the Investor. The date on which the Second Preferred Closing or the Third Preferred Closings occurs shall be referred to herein as the “</w:t>
      </w:r>
      <w:r>
        <w:rPr>
          <w:rFonts w:ascii="Times New Roman" w:cs="Times New Roman" w:eastAsia="Times New Roman" w:hAnsi="Times New Roman"/>
          <w:sz w:val="18"/>
          <w:szCs w:val="18"/>
          <w:u w:val="single" w:color="auto"/>
          <w:color w:val="auto"/>
        </w:rPr>
        <w:t>Second Preferred Closing Date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Third Preferred Closing Date</w:t>
      </w:r>
      <w:r>
        <w:rPr>
          <w:rFonts w:ascii="Times New Roman" w:cs="Times New Roman" w:eastAsia="Times New Roman" w:hAnsi="Times New Roman"/>
          <w:sz w:val="18"/>
          <w:szCs w:val="18"/>
          <w:color w:val="auto"/>
        </w:rPr>
        <w:t>”, respectively, and collectively as the “</w:t>
      </w:r>
      <w:r>
        <w:rPr>
          <w:rFonts w:ascii="Times New Roman" w:cs="Times New Roman" w:eastAsia="Times New Roman" w:hAnsi="Times New Roman"/>
          <w:sz w:val="18"/>
          <w:szCs w:val="18"/>
          <w:u w:val="single" w:color="auto"/>
          <w:color w:val="auto"/>
        </w:rPr>
        <w:t>Subsequent Preferred Closing Dates</w:t>
      </w:r>
      <w:r>
        <w:rPr>
          <w:rFonts w:ascii="Times New Roman" w:cs="Times New Roman" w:eastAsia="Times New Roman" w:hAnsi="Times New Roman"/>
          <w:sz w:val="18"/>
          <w:szCs w:val="18"/>
          <w:color w:val="auto"/>
        </w:rPr>
        <w:t>” (the Subsequent Preferred Closing Dates, together with the Subsequent Common Closing Date and the Initial Closing Date, the “</w:t>
      </w: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ind w:left="2060" w:hanging="756"/>
        <w:spacing w:after="0"/>
        <w:tabs>
          <w:tab w:leader="none" w:pos="20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Subsequent Preferred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82" w:lineRule="auto"/>
        <w:tabs>
          <w:tab w:leader="none" w:pos="265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Investor the Subsequent Preferred Shares for such Subsequent Preferred Closing, free and clear of all Liens, except restrictions imposed by the Certificate of Designations, applicable securities Laws and this Agreement; and</w:t>
      </w:r>
    </w:p>
    <w:p>
      <w:pPr>
        <w:spacing w:after="0" w:line="161" w:lineRule="exact"/>
        <w:rPr>
          <w:rFonts w:ascii="Times New Roman" w:cs="Times New Roman" w:eastAsia="Times New Roman" w:hAnsi="Times New Roman"/>
          <w:sz w:val="18"/>
          <w:szCs w:val="18"/>
          <w:color w:val="auto"/>
        </w:rPr>
      </w:pPr>
    </w:p>
    <w:p>
      <w:pPr>
        <w:ind w:left="1300" w:right="720" w:firstLine="652"/>
        <w:spacing w:after="0" w:line="282" w:lineRule="auto"/>
        <w:tabs>
          <w:tab w:leader="none" w:pos="27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pay the Subsequent Preferred Purchase Price for such Subsequent Preferred Closing to the Company, by wire transfer in immediately available U.S. federal funds, to the account designated by the Company in writing.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represents and warrants to the Investor as of the date of this Agreement and as of each Closing (except to the extent made only as of a specified date, in which case such representation and warranty is made as of such date) that, except as (A) set forth in the confidential disclosure letter delivered by the Company to the Investor prior to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understood that any information, item or matter set forth on one section or subsection of the Company Disclosure Letter shall be deemed disclosure with respect to, and shall be deemed to apply to and qualify, the section or subsection of this Agreement to which it corresponds in number and each other section or subsection of this Agreement to the extent that it is reasonably apparent on its face that such information, item or matter is relevant to such other section or subsection) or</w:t>
      </w:r>
    </w:p>
    <w:p>
      <w:pPr>
        <w:spacing w:after="0" w:line="5" w:lineRule="exact"/>
        <w:rPr>
          <w:sz w:val="20"/>
          <w:szCs w:val="20"/>
          <w:color w:val="auto"/>
        </w:rPr>
      </w:pPr>
    </w:p>
    <w:p>
      <w:pPr>
        <w:ind w:right="40" w:firstLine="8"/>
        <w:spacing w:after="0" w:line="253" w:lineRule="auto"/>
        <w:tabs>
          <w:tab w:leader="none" w:pos="2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any report, schedule, form, statement or other document (including exhibits) filed with, or furnished to, the SEC (and remaining publicly available) after January 1, 2021 and prior to the date hereof (the “</w:t>
      </w:r>
      <w:r>
        <w:rPr>
          <w:rFonts w:ascii="Times New Roman" w:cs="Times New Roman" w:eastAsia="Times New Roman" w:hAnsi="Times New Roman"/>
          <w:sz w:val="18"/>
          <w:szCs w:val="18"/>
          <w:u w:val="single" w:color="auto"/>
          <w:color w:val="auto"/>
        </w:rPr>
        <w:t>Filed SEC Documents</w:t>
      </w:r>
      <w:r>
        <w:rPr>
          <w:rFonts w:ascii="Times New Roman" w:cs="Times New Roman" w:eastAsia="Times New Roman" w:hAnsi="Times New Roman"/>
          <w:sz w:val="18"/>
          <w:szCs w:val="18"/>
          <w:color w:val="auto"/>
        </w:rPr>
        <w:t xml:space="preserve">”), other than any risk factor disclosures in any such Filed SEC Document contained in the “Risk Factors” section thereof or any forward-looking statements within the meaning of the Securities Act or the Exchange Act thereof (it being acknowledged that nothing disclosed in the Filed SEC Documents shall be deemed to qualify or modify the representations and warranties set forth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u w:val="single" w:color="auto"/>
          <w:color w:val="auto"/>
        </w:rPr>
        <w:t>Organization; Standing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4" w:lineRule="auto"/>
        <w:tabs>
          <w:tab w:leader="none" w:pos="20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and validly existing and in good standing under the Laws of the State of Delaware and has all requisite corporate power and corporate authority necessary to carry on its business as it is now being conducted, except (other than with respect to the Company’s due organization and valid existence and good standing)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True and complete copies of the Company Charter Documents are included in the Filed SEC Documents.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firstLine="1304"/>
        <w:spacing w:after="0" w:line="255" w:lineRule="auto"/>
        <w:tabs>
          <w:tab w:leader="none" w:pos="20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is duly organized, validly existing and in good standing (where such concept is recognized under applicable Law) under the Laws of the jurisdiction of its organization, except where the failure to be so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stock of the Company consists of 450,000,000 shares of Common Stock</w:t>
      </w:r>
    </w:p>
    <w:p>
      <w:pPr>
        <w:spacing w:after="0" w:line="27"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and 12,000,000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At the close of business on November 7, 2022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 216,976,245 shares of Common Stock were issued and outstanding (including 188,068 Company Restricted Shares),</w:t>
      </w:r>
    </w:p>
    <w:p>
      <w:pPr>
        <w:spacing w:after="0" w:line="1" w:lineRule="exact"/>
        <w:rPr>
          <w:sz w:val="20"/>
          <w:szCs w:val="20"/>
          <w:color w:val="auto"/>
        </w:rPr>
      </w:pPr>
    </w:p>
    <w:p>
      <w:pPr>
        <w:ind w:right="140" w:firstLine="8"/>
        <w:spacing w:after="0" w:line="252"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5,558,316 shares of Common Stock were reserved and available for issuance pursuant to the Company Stock Plans, (iii) 5,970,764 shares of Common Stock were subject to outstanding Company Stock Options, (iv) 6,216,322 Company RSUs were outstanding pursuant to which a maximum of 6,216,322 shares of Common Stock could be issued, (v) 682,500 Company PSUs were outstanding pursuant to which a maximum of 682,500 shares of Common Stock could be issued (assuming maximum achievement of all applicable performance conditions), (vi) 500,000 shares of Class A common stock may be issued in lieu of cash payment of annual bonus/performance unit awards under the Company Stock Plans, (vii) warrants to purchase 5,663,907 shares of Common Stock were issued and outstanding and (viii) no shares of Company Preferred Stock were issued or outstanding.</w:t>
      </w:r>
    </w:p>
    <w:p>
      <w:pPr>
        <w:spacing w:after="0" w:line="189" w:lineRule="exact"/>
        <w:rPr>
          <w:rFonts w:ascii="Times New Roman" w:cs="Times New Roman" w:eastAsia="Times New Roman" w:hAnsi="Times New Roman"/>
          <w:sz w:val="18"/>
          <w:szCs w:val="18"/>
          <w:color w:val="auto"/>
        </w:rPr>
      </w:pPr>
    </w:p>
    <w:p>
      <w:pPr>
        <w:ind w:right="20" w:firstLine="1304"/>
        <w:spacing w:after="0" w:line="251" w:lineRule="auto"/>
        <w:tabs>
          <w:tab w:leader="none" w:pos="204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of the Capitalization Date, there were (i) no outstanding shares of capital stock of, or other equity or voting interests in, the Company, (ii) no outstanding securities of the Company convertible into or exercisable or exchangeable for shares of capital stock of, or other equity or voting interests in, the Company, (iii) no outstanding obligations, options, warrants, rights, pledges, calls, puts, phantom equity, preemptive rights, or other rights, commitments or agreements to acquire from the Company, or that obligate the Company to issue, any capital stock of, or other equity or voting interests in, or any securities convertible into or exercisable or exchangeable for shares of capital stock of, or other equity or voting interests in, the Company other than obligations under the Company Plans in the ordinary course of business, (iv) no obligations of the Company to grant, extend or enter into any subscription, warrant, right, convertible or exchangeable security or other similar agreement or commitment relating to any capital stock of, or other equity or voting interests in, the Company (the items in clauses (i), (ii), (iii) and (iv) being referred to collectively as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and (v) no other obligations by the Company or any of its Subsidiaries to make any payments based on the price or value of any Company Securities. There are no outstanding agreements of any kind which obligate the Company or any of its Subsidiaries to repurchase, redeem or otherwise acquire any Company Securities (other than pursuant to the cashless exercise of Company Stock Options or the forfeiture or withholding of Taxes with respect to Company Stock Options, Company Restricted Shares, Company RSUs or Company PSUs), or obligate the Company to grant, extend or enter into any such agreements relating to any Company Securities, including any agreements granting any preemptive rights, subscription rights, anti-dilutive rights, rights of first refusal or similar rights with respect to any Company Securities. None of the Company or any Subsidiary of the Company is a party to any stockholders’ agreement, voting trust agreement, registration rights agreement or other similar agreement or understanding relating to any Company Securities or any other agreement relating to the disposition, voting or dividends with respect to any Company Securities. All outstanding shares of Common Stock have been duly authorized and validly issued and are fully paid, nonassessable and were not issued in violation of any purchase option, call option, right of first refusal, subscription right, preemptive or similar rights of a third Person, the Company Charter Documents or any agreement to which the Company is a party. All of the outstanding shares of capital stock or equity interests of the Company’s Subsidiaries have been duly authorized, validly issued, fully paid and non-assessable and none of such capital stock or equity interests are subject to or were issued in violation of any applicable Laws and are not subject to and have not been issued in violation of any stockholders agreement, proxy, voting trust or similar agreement, or any preemptive rights, rights of first refusal or similar rights of any Person, except as would not reasonably be expected to be material to the Company and its Subsidiaries, taken as a whole.</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ind w:right="100" w:firstLine="1304"/>
        <w:spacing w:after="0" w:line="254" w:lineRule="auto"/>
        <w:tabs>
          <w:tab w:leader="none" w:pos="20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each Closing, all of the Acquired Shares at such Closing, and the shares of Common Stock issuable upon conversion of any of such Acquired Shares that are Series A Preferred Stock and any accrued dividends, will be, when issued, duly authorized by all necessary corporate action on the part of the Company, validly issued, fully paid and nonassessable and issued in compliance with all applicable federal and state securities Laws and will not be subject to preemptive rights of any other stockholder of the Company, and will be free and clear of all Liens, except restrictions imposed by the Certificate of Designations, the Securities Act, any applicable securities Laws and this Agreement. The respective rights, preferences, privileges, and restrictions of the Series A Preferred Stock and the Common Stock are as stated in the Company Charter Documents (including the Certificate of Designations) or as otherwise provided by applicable Law. As of each Closing, all of the Acquired Shares acquired at such Closing and the shares of Common Stock issuable upon conversion of any of such Acquired Shares that are Series A Preferred Stock (including any unpaid accrued dividends thereon) have been duly reserved for issuance.</w:t>
      </w:r>
    </w:p>
    <w:p>
      <w:pPr>
        <w:spacing w:after="0" w:line="18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u w:val="single" w:color="auto"/>
          <w:color w:val="auto"/>
        </w:rPr>
        <w:t>Authority; Noncontravention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3" w:lineRule="auto"/>
        <w:tabs>
          <w:tab w:leader="none" w:pos="203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corporate authority to execute and deliver this Agreement and the other Transaction Document and to perform its obligations hereunder and thereunder and to consummate the Transactions. The execution, delivery and performance by the Company of this Agreement and the other Transaction Documents, and the consummation by it of the Transactions, have been duly authorized and approved by the Board and no other corporate action on the part of the Company is necessary to authorize the execution, delivery and performance by the Company of this Agreement and the other Transaction Documents and the consummation by it of the Transactions. This Agreement has been, and at the Closing the other Transaction Documents to which the Company is party will be, duly executed and delivered by the Company and, assuming due authorization, execution and delivery hereof or thereof, as applicable, by the Investor, constitutes (or in the case of such other Transaction Documents, at the Closing will constitute)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firstLine="1304"/>
        <w:spacing w:after="0" w:line="252" w:lineRule="auto"/>
        <w:tabs>
          <w:tab w:leader="none" w:pos="20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or the other Transaction Documents by the Company, nor the consummation by the Company of the Transactions, nor performance or compliance by the Company with any of the terms or provisions hereof or thereof, will (i) conflict with or violate any provision of (A) the Company Charter Documents or (B) the similar organizational documents of any of the Company’s Subsidiaries or (ii) assuming that the authorizations, consents and approvals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are obtained prior to such Closing Date and the filings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are made and any waiting periods thereunder have terminated or expired prior to such Closing Date, (x) violate any Law or Judgment applicable to the Company or any of its Subsidiaries or (y) violate or constitute a default (or constitute an event which, with notice or lapse of time or both, would violate or constitute a default) under, result in the termination of or a right of termination or cancellation under, result in the loss of any benefit or require a payment or incur a penalty under, any of the terms or provisions of any loan or credit agreement, indenture, debenture, note, bond, mortgage, deed of trust, lease, sublease, license, contract or other agreement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to which the Company or any of its Subsidiaries is a party or accelerate the Company’s or, if applicable, any of its Subsidiaries’ obligations under any such Contract, except, in the case of clause (i)(B) and</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(ii), as would not, individually or in the aggregate, reasonably be expected to have a Material Adverse Effect.</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for (a) the filing of the Certificate of Designations with the Secretary of State of the State of Delaware, (b) filings required under, and compliance with other applicable requirements of the HSR Act, if required, (c) filings contemplated by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and (d) compliance with any applicable state securities or blue sky laws, no consent or approval of, or filing, license, permit or authorization, declaration or registration with, any Governmental Authority is necessary for the execution and delivery of this Agreement and the other Transaction Documents by the Company, the performance by the Company of its obligations hereunder and thereunder and the consummation by the Company of the Transactions, other than such other consents, approvals, filings, licenses, permits or authorizations, declarations or registrations that, if not obtained, made or given, would not, individually or in the aggregate, reasonably be expected to have a Material Adverse Effect.</w:t>
      </w:r>
    </w:p>
    <w:p>
      <w:pPr>
        <w:spacing w:after="0" w:line="189"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u w:val="single" w:color="auto"/>
          <w:color w:val="auto"/>
        </w:rPr>
        <w:t>Company SEC Documents; Undisclosed Liabilities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55" w:lineRule="auto"/>
        <w:tabs>
          <w:tab w:leader="none" w:pos="20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the SEC, on a timely basis, all required reports, schedules, forms, statements and other documents required to be filed by the Company with the SEC pursuant to the Exchange Act since January 1, 2021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SEC filing dates, the Company SEC Documents complied in all material respects with the requirements of the Securities Act, the Exchange Act 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4" w:name="page65"/>
    <w:bookmarkEnd w:id="64"/>
    <w:p>
      <w:pPr>
        <w:ind w:firstLine="1304"/>
        <w:spacing w:after="0" w:line="254" w:lineRule="auto"/>
        <w:tabs>
          <w:tab w:leader="none" w:pos="20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(including all related notes or schedules) included or incorporated by reference in the Company SEC Documents complied as to form, as of their respective dates of filing with the SEC,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the Company and its consolidated Subsidiaries as of the dates thereof and the consolidated results of their operations and cash flows for the periods shown (subject, in the case of unaudited quarterly financial statements, to normal year-end adjustments, which are not reasonably expected to be materially adverse individually or in the aggregate to the Company and its Subsidiaries, taken as a whole).</w:t>
      </w:r>
    </w:p>
    <w:p>
      <w:pPr>
        <w:spacing w:after="0" w:line="191" w:lineRule="exact"/>
        <w:rPr>
          <w:rFonts w:ascii="Times New Roman" w:cs="Times New Roman" w:eastAsia="Times New Roman" w:hAnsi="Times New Roman"/>
          <w:sz w:val="18"/>
          <w:szCs w:val="18"/>
          <w:color w:val="auto"/>
        </w:rPr>
      </w:pPr>
    </w:p>
    <w:p>
      <w:pPr>
        <w:ind w:right="100" w:firstLine="1304"/>
        <w:spacing w:after="0" w:line="255" w:lineRule="auto"/>
        <w:tabs>
          <w:tab w:leader="none" w:pos="20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liabilities of any nature (whether accrued, absolute, contingent or otherwise) that would be required under GAAP, to be reflected on a consolidated balance sheet of the Company (including the notes thereto) except liabilities (i) reflected or reserved against in the balance sheet (or the notes thereto) of the Company and its Subsidiaries as of June 30, 2022 (the “</w:t>
      </w: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Sheet Date</w:t>
      </w:r>
      <w:r>
        <w:rPr>
          <w:rFonts w:ascii="Times New Roman" w:cs="Times New Roman" w:eastAsia="Times New Roman" w:hAnsi="Times New Roman"/>
          <w:sz w:val="18"/>
          <w:szCs w:val="18"/>
          <w:color w:val="auto"/>
        </w:rPr>
        <w:t>”) included in the Filed SEC Documents, (ii) incurred after the Balance Sheet Date in the ordinary course of business and that do not arise from any material breach of a Contract, (iii) as expressly contemplated by this Agreement or otherwise incurred in connection with the Transactions, (iv) as relate to Taxes, (v) that have been discharged or paid prior to the date of this Agreement or (vi) as would not, individually or in the aggregate, have had or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1304"/>
        <w:spacing w:after="0" w:line="252" w:lineRule="auto"/>
        <w:tabs>
          <w:tab w:leader="none" w:pos="20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and at all times since January 1, 2021 has maintained, disclosure controls and procedures and a system of internal controls over financial reporting (as such terms are defined in paragraphs (e) and (f), respectively, of Rule 13a-15 under the Exchange Act) as required by Rule 13a-15 under the Exchange Act relating to the Company and its consolidated Subsidiaries sufficient to provide reasonable assurance that (a) transactions are executed in accordance with Company management’s general or specific authorization, (b) transactions are recorded as necessary to permit preparation of financial statements in conformity with GAAP, consistently applied, and to maintain accountability for assets, (c) access to assets is permitted only in accordance with Company management’s general or specific authorization and (d) the recorded accountability for assets is compared with existing assets at reasonable intervals and appropriate action is taken with respect to any differences. There are no “significant deficiencies” or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Since January 1, 2021, to the Knowledge of the Company, there has not been any Fraud, whether or not material, that involves management or other employees of the Company or any of its Subsidiaries who have a significant role in the Company’s internal controls over financial reporting. As of the date of this Agreement, to the Knowledge of the Company, there is no reason that its outside auditors and its chief executive officer and chief financial officer will not be able to give the certifications and attestations required pursuant to the rules and regulations adopted pursuant to Section 404 of the Sarbanes-Oxley Act of 2002, without qualification, when next due.</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5" w:name="page66"/>
    <w:bookmarkEnd w:id="65"/>
    <w:p>
      <w:pPr>
        <w:ind w:right="120" w:firstLine="1304"/>
        <w:spacing w:after="0" w:line="266" w:lineRule="auto"/>
        <w:tabs>
          <w:tab w:leader="none" w:pos="20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transaction, arrangement or other relationship between the Company and/or any of its Subsidiaries and an unconsolidated or other off-balance sheet entity that is required by applicable Law to be disclosed by the Company in its Filed SEC Documents and is not so disclosed.</w:t>
      </w:r>
    </w:p>
    <w:p>
      <w:pPr>
        <w:spacing w:after="0" w:line="176"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 xml:space="preserve">Section 3.06 </w:t>
      </w:r>
      <w:r>
        <w:rPr>
          <w:rFonts w:ascii="Times New Roman" w:cs="Times New Roman" w:eastAsia="Times New Roman" w:hAnsi="Times New Roman"/>
          <w:sz w:val="17"/>
          <w:szCs w:val="17"/>
          <w:u w:val="single" w:color="auto"/>
          <w:color w:val="auto"/>
        </w:rPr>
        <w:t>Absence of Certain Changes</w:t>
      </w:r>
      <w:r>
        <w:rPr>
          <w:rFonts w:ascii="Times New Roman" w:cs="Times New Roman" w:eastAsia="Times New Roman" w:hAnsi="Times New Roman"/>
          <w:sz w:val="17"/>
          <w:szCs w:val="17"/>
          <w:color w:val="auto"/>
        </w:rPr>
        <w:t>. Since the Balance Sheet Date through the date of this Agreement, there has not been any Material Adverse Effect or any event, change or occurrence that would, individually or in the aggregate, reasonably be expected to have a Material Adverse Effect.</w:t>
      </w:r>
    </w:p>
    <w:p>
      <w:pPr>
        <w:spacing w:after="0" w:line="14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would not, individually or in the aggregate, reasonably be expected to have a Material Adverse Effect, there is no (a) pending or, to the Knowledge of the Company, threatened legal, regulatory or administrative proceeding, suit, proceeding, dispute, investigation, arbitration or action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against the Company or any of its Subsidiaries or any of their respective assets, or (b) outstanding order, judgment, injunction, ruling, writ or decree of any Governmental Authority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imposed upon the Company or any of its Subsidiaries, in each case, by or before any Governmental Authority.</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7"/>
          <w:szCs w:val="17"/>
          <w:u w:val="single" w:color="auto"/>
          <w:color w:val="auto"/>
        </w:rPr>
        <w:t>Compliance with Laws; Permits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4" w:lineRule="auto"/>
        <w:tabs>
          <w:tab w:leader="none" w:pos="20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since January 1, 2021 have been, in compliance with all state or federal laws, common law, statutes, ordinances, codes, rules or regulations or other similar requirement enacted, adopted, promulgated, or applied by any Governmental Authority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or Judgments, applicable to the Company or any of its Subsidiaries, except as would not, individually or in the aggregate, reasonably be expected to have a Material Adverse Effect. The Company and each of its Subsidiaries holds or is in the process of obtaining all licenses, franchises, permits, certificates, approvals and authorizations from Governmental Authorities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necessary for the lawful conduct of their respective businesses, except where the failure to hold the same would not, individually or in the aggregate, reasonably be expected to have a Material Adverse Effect. For the avoidance of doubt, this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does not apply to International Trade Laws matters, such matters being the exclusive subject of </w:t>
      </w:r>
      <w:r>
        <w:rPr>
          <w:rFonts w:ascii="Times New Roman" w:cs="Times New Roman" w:eastAsia="Times New Roman" w:hAnsi="Times New Roman"/>
          <w:sz w:val="18"/>
          <w:szCs w:val="18"/>
          <w:u w:val="single" w:color="auto"/>
          <w:color w:val="auto"/>
        </w:rPr>
        <w:t>Section 3.08(b)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6" w:name="page67"/>
    <w:bookmarkEnd w:id="66"/>
    <w:p>
      <w:pPr>
        <w:ind w:firstLine="1304"/>
        <w:spacing w:after="0" w:line="252" w:lineRule="auto"/>
        <w:tabs>
          <w:tab w:leader="none" w:pos="20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any of their respective directors and executive officers, nor, to the Knowledge of the Company, any Affiliates, non-executive officers and other employees, or agents (i) is the target of any sanctions administered by U.S. Governmental Authorities (including, but not limited to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U.S. Department of State and the U.S. Department of Commerce), the United Nations Security Council, HM Treasury, the European Union or relevant member states of the European Union, or any other relevant Governmental Authority (collectively, the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(ii) is named in any Sanctions-related list maintained by the U.S. Department of State; the U.S. Department of Commerce, including the Bureau of Industry and Security’s Entity List and Denied Persons List; or the U.S. Department of the Treasury, including the OFAC Specially Designated Nationals and Blocked Persons List, the Sectoral Sanctions Identifications List, and the Foreign Sanctions Evaders List; or any similar list maintained by the United Nations Security Council, the European Union, HM Treasury or any other relevant Governmental Authority; (iii) is located, organized or resident in a country, territory or geographical region which is itself the subject or target of any territory-wide Sanctions (currently, Cuba, Iran, North Korea, Syria, and the Crimea and so-called Donetsk People’s Republic and Luhansk People’s Republic regions of Ukraine) (each, a “</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or (iv) is owned or controlled by any Person or Persons described in the foregoing clauses (i)–(iii). The Company and its Subsidiaries and, to the Knowledge of the Company, their respective directors, officers, employees, and agents (to the extent such persons are acting for or on behalf of the Company or any of its Subsidiaries) are, and since the date of their respective formations have been at all times, in compliance with (i) Sanctions; (ii) U.S. export control Laws (including, without limitation, the International Traffic in Arms Regulations (22 CFR §§ 120–130, as amended), the Export Administration Regulations (15 CFR §§ 730–774, as amended) and any regulation, order, or directive promulgated, issued or enforced pursuant to such Laws); (iii) Laws pertaining to imports and customs, including those administered by the Bureau of Customs and Border Protection in the U.S. Department of Homeland Security (and any successor thereof) and any regulation, order, or directive promulgated, issued or enforced pursuant to such Laws; (iv) the anti-boycott Laws administered by the U.S. Department of Commerce and the U.S. Department of the Treasury; and (v) export, import and customs Laws of other countries in which the Company has conducted and/or currently conducts business (collectively, “</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20" w:firstLine="1304"/>
        <w:spacing w:after="0" w:line="256" w:lineRule="auto"/>
        <w:tabs>
          <w:tab w:leader="none" w:pos="20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to the Knowledge of the Company, their respective directors and officers acting on behalf of or for the Company’s or any Subsidiary’s benefit are, and since the January 1, 2021 have been, in compliance with the U.S. Foreign Corrupt Practices Act of 1977 or similar law of a jurisdiction in which the Company or any of its Subsidiaries conduct their respective businesses and to which they are lawfully subject, in each case, except as would not, individually or in the aggregate, reasonably be expected to have a Material Adverse Effect. No part of the proceeds of the Purchase Price paid hereunder shall be used to make any unlawful bribe, rebate, payoff, influence payment, kickback or other unlawful payment.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7" w:name="page68"/>
    <w:bookmarkEnd w:id="67"/>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3.09</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Except as would not, individually or in the aggregate, reasonably be expected to have a Material Adverse Effect:</w:t>
      </w:r>
    </w:p>
    <w:p>
      <w:pPr>
        <w:spacing w:after="0" w:line="27" w:lineRule="exact"/>
        <w:rPr>
          <w:sz w:val="20"/>
          <w:szCs w:val="20"/>
          <w:color w:val="auto"/>
        </w:rPr>
      </w:pPr>
    </w:p>
    <w:p>
      <w:pPr>
        <w:ind w:right="20" w:firstLine="8"/>
        <w:spacing w:after="0" w:line="250" w:lineRule="auto"/>
        <w:tabs>
          <w:tab w:leader="none" w:pos="2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prepared (or caused to be prepared) and timely filed (taking into account valid extensions of time within which to file) all Tax Returns required to be filed by any of them, and all such filed Tax Returns (taking into account all amendments thereto) are true, complete and accurate, (b) all Taxes owed by the Company and each of its Subsidiaries that are due (whether or not shown on any Tax Return) have been timely paid, except for Taxes that are being contested in good faith by appropriate proceedings and that have been adequately reserved against in accordance with GAAP, (c) no examination or audit of any Tax Return relating to any Taxes of the Company or any of its Subsidiaries or with respect to any Taxes due from the Company or any of its Subsidiaries by any Governmental Authority is currently in progress or threatened in writing, (d) none of the Company or any of its Subsidiaries has liabilities for any other Person (other than the Company and its Subsidiaries under Treasury Regulations</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1.1502-6 (or any similar provision of state, local or foreign Law), as a transferee or successor, or by contract and (e) none of the Company or any of its Subsidiaries has engaged in any “listed transaction” within the meaning of Treasury Regulations Section 1.6011-4(b)(2).</w:t>
      </w:r>
    </w:p>
    <w:p>
      <w:pPr>
        <w:spacing w:after="0" w:line="18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3.10</w:t>
      </w:r>
      <w:r>
        <w:rPr>
          <w:sz w:val="20"/>
          <w:szCs w:val="20"/>
          <w:color w:val="auto"/>
        </w:rPr>
        <w:tab/>
      </w:r>
      <w:r>
        <w:rPr>
          <w:rFonts w:ascii="Times New Roman" w:cs="Times New Roman" w:eastAsia="Times New Roman" w:hAnsi="Times New Roman"/>
          <w:sz w:val="17"/>
          <w:szCs w:val="17"/>
          <w:u w:val="single" w:color="auto"/>
          <w:color w:val="auto"/>
        </w:rPr>
        <w:t>No Rights Agreement; Anti-Takeover Provisions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is not party to a stockholder rights agreement, “poison pill” or similar anti-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agreement or plan.</w:t>
      </w:r>
    </w:p>
    <w:p>
      <w:pPr>
        <w:spacing w:after="0" w:line="206" w:lineRule="exact"/>
        <w:rPr>
          <w:rFonts w:ascii="Times New Roman" w:cs="Times New Roman" w:eastAsia="Times New Roman" w:hAnsi="Times New Roman"/>
          <w:sz w:val="18"/>
          <w:szCs w:val="18"/>
          <w:color w:val="auto"/>
        </w:rPr>
      </w:pPr>
    </w:p>
    <w:p>
      <w:pPr>
        <w:ind w:right="20" w:firstLine="1304"/>
        <w:spacing w:after="0" w:line="261" w:lineRule="auto"/>
        <w:tabs>
          <w:tab w:leader="none" w:pos="20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has taken all necessary actions to ensure that no restrictions included in any “control share acquisition,” “fair price,” “moratorium,” “business combination” or other state anti-takeover Law (including Section 203 of the DGCL) are, or as of each Closing will be, applicable to the Transactions, including the Company’s issuance to Investor of shares of Common Stock of the Company, including shares issuable upon conversion of the Series A Preferred Stock (to the extent convertible) and any issuance pursuant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Except for Jefferies LLC, no broker, investment banker, financial advisor or other Person, the fees and expenses of which will be paid by the Company,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the offer, sale and issuance of the shares of Series A Preferred Stock pursuant to this Agreement is exempt from the registration and prospectus delivery requirements of the Securities Act and the rules and regulations thereunder. Without limiting the foregoing, neither the Company nor any other Person authorized by the Company to act on its behalf, has engaged in a general solicitation or general advertising (within the meaning of Regulation D of the Securities Act) of investors with respect to offers or sales of Series A Preferred Stock, and neither the Company nor any Person acting on its behalf has made any offers or sales of any security or solicited any offers to buy any security, under circumstances that would cause the offering or issuance of Series A Preferred Stock under this Agreement to be integrated with prior offerings by the Company for purposes of the Securities Act that would result in none of Regulation D or any other applicable exemption from registration under the Securities Act to be available, nor will the Company take any action or steps that would cause the offering or issuance of Series A Preferred Stock under this Agreement to be integrated with other offerings by the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listed on the Nasdaq, and the Company has taken no action designed to, or which to the Knowledge of the Company is reasonably likely to have the effect of, terminating the registration of the Common Stock under the Exchange Act or delisting the Common Stock from the Nasdaq, nor has the Company received any written notification that the SEC or the Nasdaq is contemplating terminating such registration or listing.</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Certain Material Indebtedness</w:t>
      </w:r>
      <w:r>
        <w:rPr>
          <w:rFonts w:ascii="Times New Roman" w:cs="Times New Roman" w:eastAsia="Times New Roman" w:hAnsi="Times New Roman"/>
          <w:sz w:val="18"/>
          <w:szCs w:val="18"/>
          <w:color w:val="auto"/>
        </w:rPr>
        <w:t>. Neither the Company nor any of its Subsidiaries is, as of the date of this Agreement, in default in the payment of any material indebtedness or in default under any agreement relating to its material indebtedness.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Ability to Pay Dividends.</w:t>
      </w:r>
      <w:r>
        <w:rPr>
          <w:rFonts w:ascii="Times New Roman" w:cs="Times New Roman" w:eastAsia="Times New Roman" w:hAnsi="Times New Roman"/>
          <w:sz w:val="18"/>
          <w:szCs w:val="18"/>
          <w:color w:val="auto"/>
        </w:rPr>
        <w:t xml:space="preserve"> The Company is not party to any material Contract, and is not subject to any provision in the Company Charter Documents or resolutions of the Board that, in each case, by its terms prohibits or prevents the Company from paying dividends in form and the amounts contemplated by the Certificate of Designations.</w:t>
      </w:r>
    </w:p>
    <w:p>
      <w:pPr>
        <w:spacing w:after="0" w:line="176"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7"/>
          <w:szCs w:val="17"/>
          <w:u w:val="single" w:color="auto"/>
          <w:color w:val="auto"/>
        </w:rPr>
        <w:t>IP; Security</w:t>
      </w:r>
      <w:r>
        <w:rPr>
          <w:rFonts w:ascii="Times New Roman" w:cs="Times New Roman" w:eastAsia="Times New Roman" w:hAnsi="Times New Roman"/>
          <w:sz w:val="17"/>
          <w:szCs w:val="17"/>
          <w:color w:val="auto"/>
        </w:rPr>
        <w:t>. Except for Liens granted in favor of Foxconn EV Technology, Inc., the Company and its Subsidiaries</w:t>
      </w:r>
    </w:p>
    <w:p>
      <w:pPr>
        <w:spacing w:after="0" w:line="27" w:lineRule="exact"/>
        <w:rPr>
          <w:sz w:val="20"/>
          <w:szCs w:val="20"/>
          <w:color w:val="auto"/>
        </w:rPr>
      </w:pPr>
    </w:p>
    <w:p>
      <w:pPr>
        <w:ind w:right="80" w:firstLine="8"/>
        <w:spacing w:after="0" w:line="252" w:lineRule="auto"/>
        <w:tabs>
          <w:tab w:leader="none" w:pos="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exclusively own their proprietary Intellectual Property and IT Assets, free and clear of all Liens; (ii) do not infringe the Intellectual Property of any Person; and (iii) take commercially reasonable actions to protect the integrity, continuous operation, redundancy and security of the IT Assets used in their business (and all data, including personal data, processed thereby), in each case, except as would not reasonably be expected, individually or in the aggregate, to have a Material Adverse Effect. Since January 1, 2021, there have been no violations, breaches, outages, corruptions or unauthorized uses of, or unauthorized access to same, except for instances that were resolved without material cost, liability or the duty to notify any other Person, except as would not reasonably be expected, individually or in the aggregate, to have a Material Adverse Effect.</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have a Material Adverse Effect, (a) the Company and each of its Subsidiaries have complied since the dates of their respective formation with and is in compliance with all applicable Laws relating to pollution or the protection of the environment or natural resources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and as of the date hereof the Company has not received any written notice since the January 1, 2021 alleging that the Company is in violation of or has liability under any Environmental Law, (b) the Company and its Subsidiaries possess and have complied since the dates of their respective formation with and are in compliance with all Permits required under Environmental Laws for the operation of their respective businesses, (c) as of the date hereof, there is no Action under or pursuant to any Environmental Law or environmental Permit that is pending or, to the Knowledge of the Company, threatened in writing against the Company or any of its Subsidiaries, (d) as of the date hereof, neither the Company nor any of its Subsidiaries has become subject to any Judgment imposed by any Governmental Authority under which there are uncompleted, outstanding or unresolved obligations on the part of the Company or its Subsidiaries arising under Environmental Laws, (e) neither the Company nor any of its Subsidiaries has any liabilities or obligations arising from the Company’s or any of its Subsidiaries’ management disposal or release of, or exposure of any Person to, any hazardous or toxic substance, or any owned or operated property or facility contaminated by any such substance and (f) as of the date hereof, neither the Company nor any of its Subsidiaries has by contract or operation of law assumed responsibility or provided an indemnity for any liability of any other Person relating to Environmental Laws.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3.18</w:t>
      </w:r>
      <w:r>
        <w:rPr>
          <w:sz w:val="20"/>
          <w:szCs w:val="20"/>
          <w:color w:val="auto"/>
        </w:rPr>
        <w:tab/>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304"/>
        <w:spacing w:after="0" w:line="261" w:lineRule="auto"/>
        <w:tabs>
          <w:tab w:leader="none" w:pos="20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comply has not had, and would not reasonably be expected to have, individually or in the aggregate, a Material Adverse Effect, the Company and its Subsidiaries are in compliance with all applicable Laws relating to labor, employment, fair employment practices, terms and conditions of employment, and wages and hours, and with the terms of the Company Plans, and each such Company Plan is in compliance with all applicable requirements of ERISA.</w:t>
      </w:r>
    </w:p>
    <w:p>
      <w:pPr>
        <w:spacing w:after="0" w:line="179" w:lineRule="exact"/>
        <w:rPr>
          <w:rFonts w:ascii="Times New Roman" w:cs="Times New Roman" w:eastAsia="Times New Roman" w:hAnsi="Times New Roman"/>
          <w:sz w:val="18"/>
          <w:szCs w:val="18"/>
          <w:color w:val="auto"/>
        </w:rPr>
      </w:pPr>
    </w:p>
    <w:p>
      <w:pPr>
        <w:ind w:right="340" w:firstLine="1304"/>
        <w:spacing w:after="0" w:line="266" w:lineRule="auto"/>
        <w:tabs>
          <w:tab w:leader="none" w:pos="20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Company or any of its Subsidiaries Company is a party to or bound by any collective bargaining agreement or other agreement with a labor union or like organization, and to the Knowledge of the Company, no labor organization or labor union is actively seeking signed authorization cards or other written expressions of support from the Company’s or its Subsidiaries’ employees.</w:t>
      </w:r>
    </w:p>
    <w:p>
      <w:pPr>
        <w:spacing w:after="0" w:line="175" w:lineRule="exact"/>
        <w:rPr>
          <w:rFonts w:ascii="Times New Roman" w:cs="Times New Roman" w:eastAsia="Times New Roman" w:hAnsi="Times New Roman"/>
          <w:sz w:val="18"/>
          <w:szCs w:val="18"/>
          <w:color w:val="auto"/>
        </w:rPr>
      </w:pPr>
    </w:p>
    <w:p>
      <w:pPr>
        <w:ind w:right="320" w:firstLine="1304"/>
        <w:spacing w:after="0" w:line="261" w:lineRule="auto"/>
        <w:tabs>
          <w:tab w:leader="none" w:pos="20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has not been since January 1, 2021, any strike, lockout, slowdown, work stoppage, unfair labor practice or other material labor dispute, or material arbitration or grievance pending or, to the Knowledge of the Company, threatened, that may interfere in any material respect with the respective business activities of the Company and its Subsidiaries. As of the date hereof, the Company has not incurred any liability or obligation under the Worker Adjustment and Retraining Notification Act or any similar state or local Law that remains unsatisfied.</w:t>
      </w:r>
    </w:p>
    <w:p>
      <w:pPr>
        <w:spacing w:after="0" w:line="179" w:lineRule="exact"/>
        <w:rPr>
          <w:rFonts w:ascii="Times New Roman" w:cs="Times New Roman" w:eastAsia="Times New Roman" w:hAnsi="Times New Roman"/>
          <w:sz w:val="18"/>
          <w:szCs w:val="18"/>
          <w:color w:val="auto"/>
        </w:rPr>
      </w:pPr>
    </w:p>
    <w:p>
      <w:pPr>
        <w:ind w:right="200" w:firstLine="1304"/>
        <w:spacing w:after="0" w:line="266" w:lineRule="auto"/>
        <w:tabs>
          <w:tab w:leader="none" w:pos="20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as of the date hereof, since January 1, 2021, no material allegations of sexual harassment have been made to the Company against any executive-level employee in his or her capacity as a director, employee or other service provider of the Company.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0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as of the date hereof, no member of the executive leadership team of the Company has indicated an intention in writing to terminate employment with the Company.</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 xml:space="preserve"> The Company and its Subsidiaries have good and insurable title in fee simple to (in the case of real property), or have valid rights to lease or otherwise use, all items of real and personal property that are material to the respective businesses of the Company and its Subsidiaries taken as a whole, in each case free and clear of all Liens and defects and imperfections of title, except those that (i) do not materially interfere with the use made and proposed to be made of such property by the Company and its Subsidiaries or (ii) would not, individually or in the aggregate, have a Material Adverse Effect. As of the date hereof, neither the Company nor any of its Subsidiaries has received actual written notice that any of the Company’s real property is subject to any governmental decree or order to be sold or is being condemned, expropriated or otherwise taken by any public authority with or without payment of compensation therefor. As of the date hereof, the real property of the Company and its Subsidiaries is in good operating condition and repair, reasonable wear and tear excepted, and is structurally sound and free of any defects and is suitable and sufficient for its current and contemplated uses, except as has not had, and would not reasonably be expected to have, individually or in the aggregate, a Material Adverse Effect.</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Company and its Subsidiaries have insurance covering their respective properties, operations, personnel and businesses, including business interruption insurance, which insurance is in amounts and insures against such losses and risks as are reasonably deemed by the Company and its Subsidiaries to be adequate to protect the Company and its Subsidiaries and their respective businesses, taken as a whole in a commercially reasonably manner; and as of the date hereof neither the Company nor any of its Subsidiaries (i) has received written notice from any insurer or agent of such insurer that material capital improvements or other material capital expenditures are required or necessary to be made in order to continue such insurance or (ii) believes that it will not be able to renew its existing insurance coverage as and when such coverage expires or to obtain materially similar coverage from similar insurers as may be necessary to continue its business.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xml:space="preserve"> Neither the Company nor any of its Subsidiaries is, and immediately after the sale of the Acquired Shares hereunder, none of the Company nor any of its Subsidiaries will be, required to be registered as an “investment company” under the Investment Company Act of 1940, as amended.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No Other Company Representations or Warranties</w:t>
      </w:r>
      <w:r>
        <w:rPr>
          <w:rFonts w:ascii="Times New Roman" w:cs="Times New Roman" w:eastAsia="Times New Roman" w:hAnsi="Times New Roman"/>
          <w:sz w:val="18"/>
          <w:szCs w:val="18"/>
          <w:color w:val="auto"/>
        </w:rPr>
        <w:t xml:space="preserve">. Except for the representations and warranties made by the Company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neither the Company nor any other Person acting on its behalf makes any other express or implied representation or warranty with respect to the Series A Preferred Stock, the Common Stock, the Company or any of its Subsidiaries or their respective businesses, operations, properties, assets, liabilities, condition (financial or otherwise) or prospects, notwithstanding the delivery or disclosure to the Investor or any of its Representatives of any documentation, forecasts or other information with respect to any one or more of the foregoing, and the Investor acknowledges the foregoing. In particular, and without limiting the generality of the foregoing, except for the representations and warranties made by the Company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neither the Company nor any other Person makes or has made any express or implied representation or warranty to the Investor or any of its Representatives with respect to (a) any financial projection, forecast, estimate, budget or prospect information relating to the Company, any of its Subsidiaries or their respective businesses or (b) any oral or written information presented to the Investor or any of its Representatives in the course of its due diligence investigation of the Company, the negotiation of this Agreement or the course of the Transactions or any other transactions or potential transactions involving the Company and the Investor.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No Other Investor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Company hereby acknowledges that neither the Investor, nor any other Person, (a) has made or is making any other express or implied representation or warranty with respect to the Investor or any of its Affiliates or their respective businesses, operations, assets, liabilities, condition (financial or otherwise) or prospects, including with respect to any information provided or made available to the Company or any of its Representatives or any information developed by the Company or any of its Representatives in connection with the Transactions or (b) will have or be subject to any liability or indemnification obligation to the Company resulting from the delivery, dissemination or any other distribution to the Company or any of its Representatives, or the use by the Company or any of its Representatives, of any information, documents, estimates, projections, forecasts or other forward-looking information, business plans or other material developed by or provided or made available to the Company or any of its Representatives, including in due diligence materials, “data rooms” or management presentations (formal or informal), in connection with the Transactions. The Company, on behalf of itself and on behalf of its Affiliates, expressly waives any such claim relating to the foregoing matters, except with respect to Fraud.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INVESTOR</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and as of each of Closing (except to the extent made only as of a specified date, in which case such representation and warranty is made as of such date):</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Standing</w:t>
      </w:r>
      <w:r>
        <w:rPr>
          <w:rFonts w:ascii="Times New Roman" w:cs="Times New Roman" w:eastAsia="Times New Roman" w:hAnsi="Times New Roman"/>
          <w:sz w:val="18"/>
          <w:szCs w:val="18"/>
          <w:color w:val="auto"/>
        </w:rPr>
        <w:t>. The Investor is a private company limited by shares duly established under the Laws of Singapore and has all requisite power and authority necessary to carry on its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an Investor Material Adverse Effect.</w:t>
      </w:r>
    </w:p>
    <w:p>
      <w:pPr>
        <w:spacing w:after="0" w:line="183"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u w:val="single" w:color="auto"/>
          <w:color w:val="auto"/>
        </w:rPr>
        <w:t>Authority; Noncontravention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1304"/>
        <w:spacing w:after="0" w:line="254" w:lineRule="auto"/>
        <w:tabs>
          <w:tab w:leader="none" w:pos="20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all necessary power and authority to execute and deliver this Agreement and the other Transaction Documents, to perform its obligations hereunder and thereunder and to consummate the Transactions. The execution, delivery and performance by the Investor of this Agreement and the other Transaction Documents and the consummation by the Investor of the Transactions have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and the other Transaction Documents and the consummation by the Investor of the Transactions. This Agreement has been, and at the Initial Closing the other Transaction Documents will be, duly executed and delivered by the Investor and, assuming due authorization, execution and delivery hereof or thereof, as applicable, by the Company, constitutes (or in the case of the other Transaction Documents, at the Initial Closing will constitute) a legal, valid and binding obligation of the Investor, enforceable against it in accordance with its terms, subject to the Bankruptcy and Equity Exception.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right="40" w:firstLine="1304"/>
        <w:spacing w:after="0" w:line="253" w:lineRule="auto"/>
        <w:tabs>
          <w:tab w:leader="none" w:pos="20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or the other Transaction Documents by the Investor, nor the consummation by the Investor of the Transactions, nor performance or compliance by the Investor with any of the terms or provisions hereof or thereof, will (i) conflict with or violate any provision of the certificate or articles of incorporation, bylaws or other comparable charter or organizational documents of the Investor or (ii) assuming that the authorizations, consents and approvals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are obtained prior to each of the Closing Dates and the filings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are made and any waiting periods with respect to such filings have terminated or expired prior to each of the Closing Dates,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any of its Subsidiaries’, if applicable, obligations under any such Contract, except, in the case of clause (ii), as would not, individually or in the aggregate, reasonably be expected to have an Investor Material Adverse Effect.</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for (a) filings required under, and compliance with other applicable requirements of the HSR Act, if required, and (b) filings contemplated by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no consent or approval of, or filing, license, permit or authorization, declaration or registration with, any Governmental Authority is necessary for the execution and delivery of this Agreement and the other Transaction Documents by the Investor, the performance by the Investor of its obligations hereunder and thereunder and the consummation by the Investor of the Transactions,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 At each of the Closings, the Investor will have available funds necessary to consummate the Purchase at such Closing and pay the Purchase Price for such Closing and to pay any fees and expenses of or payable by the Investor, on the terms and conditions contemplated by this Agreement. As of the date of this Agreement, the Investor is not aware of any reason why the funds sufficient to pay the applicable Purchase Price at each Closing will not be available on such Closing Date.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Ownership of Company Stock</w:t>
      </w:r>
      <w:r>
        <w:rPr>
          <w:rFonts w:ascii="Times New Roman" w:cs="Times New Roman" w:eastAsia="Times New Roman" w:hAnsi="Times New Roman"/>
          <w:sz w:val="18"/>
          <w:szCs w:val="18"/>
          <w:color w:val="auto"/>
        </w:rPr>
        <w:t>. Other than 7,248,163 shares of Common Stock and warrants to acquire 1,700,000 shares of Common Stock, in each case owned by Affiliates of the Investor, neither the Investor nor any of its Affiliates owns any capital stock or other securities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3" w:name="page74"/>
    <w:bookmarkEnd w:id="73"/>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Investor or any of its Subsidiaries, except for Persons, if any, whose fees and expenses will be paid by the Investor.</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Non-Reliance on Company Estimates, Projections, Forecasts, Forward-Looking Statements and Business Plans</w:t>
      </w:r>
      <w:r>
        <w:rPr>
          <w:rFonts w:ascii="Times New Roman" w:cs="Times New Roman" w:eastAsia="Times New Roman" w:hAnsi="Times New Roman"/>
          <w:sz w:val="18"/>
          <w:szCs w:val="18"/>
          <w:color w:val="auto"/>
        </w:rPr>
        <w:t xml:space="preserve">. In connection with the due diligence investigation of the Company by the Investor and its Representatives, the Investor and its Representatives have received and may continue to receive from the Company and its Representatives certain estimates, projections, forecasts and other forward-looking information, as well as certain business plan information, regarding the Company and its Subsidiaries and their respective businesses and operations. The Investor hereby acknowledges that there are uncertainties inherent in attempting to make such estimates, projections, forecasts and other forward-looking statements, as well as in such business plans, with which the Investor is familiar, that the Investor is making its own evaluation of the adequacy and accuracy of all estimates, projections, forecasts and other forward-looking information, as well as such business plans, so furnished to the Investor (including the reasonableness of the assumptions underlying such estimates, projections, forecasts, forward-looking information or business plans), and that except for the representations and warranties made by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(as the same may be modified by the Company Disclosure Letter), the Investor is not relying on any representations and warranties or other statements made by the Company or any of its Representatives and Investor will have no claim against the Company or any of its Subsidiaries, or any of their respective Representatives, with respect thereto, except with respect to Fraud.</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Purchase for Investment</w:t>
      </w:r>
      <w:r>
        <w:rPr>
          <w:rFonts w:ascii="Times New Roman" w:cs="Times New Roman" w:eastAsia="Times New Roman" w:hAnsi="Times New Roman"/>
          <w:sz w:val="18"/>
          <w:szCs w:val="18"/>
          <w:color w:val="auto"/>
        </w:rPr>
        <w:t>. The Investor acknowledges that the Common Stock, the Series A Preferred Stock and the Common Stock issuable upon the conversion of the Series A Preferred Stock have not been registered under the Securities Act or under any state or other applicable securities Laws. The Investor (a) acknowledges that it is acquiring the Common Stock, the Series A Preferred Stock and the Common Stock issuable upon the conversion of the Series A Preferred Stock pursuant to an exemption from registration under the Securities Act solely for investment with no intention to distribute any of the foregoing to any Person, (b) will not sell, transfer, or otherwise dispose of any of the Common Stock, the Series A Preferred Stock or the Common Stock issuable upon the conversion of the Series A Preferred Stock, except in compliance with this Agreement and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Common Stock, the Series A Preferred Stock and the Common Stock issuable upon the conversion of the Series A Preferred Stock and of making an informed investment decision, (d) is an “accredited investor” (as that term is defined by Rule 501 of the Securities Act) and (e)(1) has been furnished with or has had access to all the information that it considers necessary or appropriate to make an informed investment decision with respect to the Common Stock, the Series A Preferred Stock and the Common Stock issuable upon the conversion of the Series A Preferred Stock, (2) has had an opportunity to discuss with the Company and its Representatives the intended business and financial affairs of the Company and to obtain information necessary to verify any information furnished to it or to which it had access and (3) can bear the economic risk of (i) an investment in the Common Stock, the Series A Preferred Stock and the Common Stock issuable upon the conversion of the Series A Preferred Stock indefinitely and (ii) a total loss in respect of such investment. The Investor has such knowledge and experience in business and financial matters so as to enable it to understand and evaluate the risks of, and form an investment decision with respect to its investment in, the Common Stock, the Series A Preferred Stock and the Common Stock issuable upon the conversion of the Series A Preferred Stock and to protect its own interest in connection with such investment.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No Other Investor Representations or Warranties</w:t>
      </w:r>
      <w:r>
        <w:rPr>
          <w:rFonts w:ascii="Times New Roman" w:cs="Times New Roman" w:eastAsia="Times New Roman" w:hAnsi="Times New Roman"/>
          <w:sz w:val="18"/>
          <w:szCs w:val="18"/>
          <w:color w:val="auto"/>
        </w:rPr>
        <w:t xml:space="preserve">. Except for the representations and warranties made by the Investor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connection with the Transactions, neither the Investor nor any other Person acting on its behalf makes any other express or implied representation or warranty with respect to the Investor or any of its Affiliates or their respective businesses, operations, properties, assets, liabilities, condition (financial or otherwise) or prospects, notwithstanding the delivery or disclosure to the Company or its Representatives of any documentation, forecasts or other information with respect to any one or more of the foregoing, and the Company acknowledges the foregoing. In particular, and without limiting the generality of the foregoing, except for the representations and warranties made by the Investor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neither the Investor nor any other Person makes or has made any express or implied representation or warranty to the Company or its Representatives with respect to (a) any financial projection, forecast, estimate, budget or prospect information relating to the Investor, any of its Affiliates or their respective businesses or (b) any oral or written information presented to the Company or its Representatives in connection with this Agreement or the Transactions.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No Other Company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(as the same may be modified by the Company Disclosure Letter and the Filed SEC Documents), the Investor hereby acknowledges it is not relying on any other representations and warranties and that neither the Company nor any of its Subsidiaries, nor any other Person, (a) has made or is making any other express or implied representation or warranty with respect to the Company or any of its Subsidiaries or their respective businesses, operations, assets, liabilities, condition (financial or otherwise) or prospects, including with respect to any information provided or made available to the Investor or any of its Representatives or any information developed by the Investor or any of its Representatives or (b) will have or be subject to any liability or indemnification obligation to the Investor resulting from the delivery, dissemination or any other distribution to the Investor or any of its Representatives, or the use by the Investor or any of its Representatives, of any information, documents, estimates, projections, forecasts or other forward-looking information, business plans or other material developed by or provided or made available to the Investor or any of its Representatives, including in due diligence materials, “data rooms” or management presentations (formal or informal), in anticipation or contemplation of any of the Transactions or any other transactions or potential transactions involving the Company and the Investor. The Investor, on behalf of itself and on behalf of its Affiliates, expressly waives any such claim relating to the foregoing matters, except with respect to Fraud.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the Investor and its Affiliates and Representatives have relied on the results of their own independent investigation.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xml:space="preserve">. Except as required by applicable Law, Judgment or to comply with any notice from a Governmental Authority, as expressly contemplated, required or permitted by this Agreement or as described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Company Disclosure Letter, during the period from the date of this Agreement until the Initial Closing Date (or such earlier date on which this Agreement may be terminated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(1) unless the Investor otherwise consents in writing (such consent not to be unreasonably withheld, delayed or conditions), the Company shall, and shall cause its Subsidiaries to, use their commercially reasonable efforts to maintain and preserve in all material respects its existing relationships with its customers, employees, independent contractors and other business relationships having material business dealings with the Company or any of its Subsidiaries and (2) unless the Investor otherwise consents in writing (such consent not to be unreasonably withheld, delayed or conditioned), the Company shall not, and shall not permit any of its Subsidiaries to:</w:t>
      </w:r>
    </w:p>
    <w:p>
      <w:pPr>
        <w:spacing w:after="0" w:line="192" w:lineRule="exact"/>
        <w:rPr>
          <w:sz w:val="20"/>
          <w:szCs w:val="20"/>
          <w:color w:val="auto"/>
        </w:rPr>
      </w:pPr>
    </w:p>
    <w:p>
      <w:pPr>
        <w:ind w:right="440" w:firstLine="1304"/>
        <w:spacing w:after="0" w:line="282" w:lineRule="auto"/>
        <w:tabs>
          <w:tab w:leader="none" w:pos="20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authorization and issuance of the Series A Preferred Stock to the Investor, authorize, issue, sell or grant any Parity Stock or Senior Stock (as such terms are defined in the Certificate of Designations);</w:t>
      </w:r>
    </w:p>
    <w:p>
      <w:pPr>
        <w:spacing w:after="0" w:line="161" w:lineRule="exact"/>
        <w:rPr>
          <w:rFonts w:ascii="Times New Roman" w:cs="Times New Roman" w:eastAsia="Times New Roman" w:hAnsi="Times New Roman"/>
          <w:sz w:val="18"/>
          <w:szCs w:val="18"/>
          <w:color w:val="auto"/>
        </w:rPr>
      </w:pPr>
    </w:p>
    <w:p>
      <w:pPr>
        <w:ind w:right="60" w:firstLine="1304"/>
        <w:spacing w:after="0" w:line="261" w:lineRule="auto"/>
        <w:tabs>
          <w:tab w:leader="none" w:pos="20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otherwise acquire any of its outstanding shares of capital stock or other equity or voting interests, or any rights, warrants or options to acquire any shares of its capital stock or other equity or voting interests (other than pursuant to the cashless exercise of Company Stock Options or the forfeiture or withholding of Taxes with respect to Company Stock Options, Company Restricted Shares, Company RSUs or Company PSUs);</w:t>
      </w:r>
    </w:p>
    <w:p>
      <w:pPr>
        <w:spacing w:after="0" w:line="179" w:lineRule="exact"/>
        <w:rPr>
          <w:rFonts w:ascii="Times New Roman" w:cs="Times New Roman" w:eastAsia="Times New Roman" w:hAnsi="Times New Roman"/>
          <w:sz w:val="18"/>
          <w:szCs w:val="18"/>
          <w:color w:val="auto"/>
        </w:rPr>
      </w:pPr>
    </w:p>
    <w:p>
      <w:pPr>
        <w:ind w:right="160" w:firstLine="1304"/>
        <w:spacing w:after="0" w:line="282" w:lineRule="auto"/>
        <w:tabs>
          <w:tab w:leader="none" w:pos="20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record date for, declare, set aside for payment or pay any dividend on, or make any other distribution in respect of, any shares of its capital stock or other equity or voting interests;</w:t>
      </w:r>
    </w:p>
    <w:p>
      <w:pPr>
        <w:spacing w:after="0" w:line="161"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shares of its capital stock or other equity or voting interests;</w:t>
      </w:r>
    </w:p>
    <w:p>
      <w:pPr>
        <w:spacing w:after="0" w:line="225" w:lineRule="exact"/>
        <w:rPr>
          <w:rFonts w:ascii="Times New Roman" w:cs="Times New Roman" w:eastAsia="Times New Roman" w:hAnsi="Times New Roman"/>
          <w:sz w:val="18"/>
          <w:szCs w:val="18"/>
          <w:color w:val="auto"/>
        </w:rPr>
      </w:pPr>
    </w:p>
    <w:p>
      <w:pPr>
        <w:ind w:right="120" w:firstLine="1304"/>
        <w:spacing w:after="0" w:line="266" w:lineRule="auto"/>
        <w:tabs>
          <w:tab w:leader="none" w:pos="20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Company Charter Documents or make any material amendments to the organizational documents of any of the Company’s Subsidiaries, in each case, in a manner that would affect the Investor in an adverse manner either as a holder of Series A Preferred Stock or with respect to the rights of the Investor under this Agreement;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6" w:name="page77"/>
    <w:bookmarkEnd w:id="76"/>
    <w:p>
      <w:pPr>
        <w:ind w:left="2060" w:hanging="756"/>
        <w:spacing w:after="0"/>
        <w:tabs>
          <w:tab w:leader="none" w:pos="2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size of the Board; or</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u w:val="single" w:color="auto"/>
          <w:color w:val="auto"/>
        </w:rPr>
        <w:t>Regulatory Filings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304"/>
        <w:spacing w:after="0" w:line="254" w:lineRule="auto"/>
        <w:tabs>
          <w:tab w:leader="none" w:pos="20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Investor shall, and shall cause their ultimate parent entities to, (i) make an appropriate filing of a Notification and Report Form pursuant to the HSR Act if a filing under the HSR Act is required for any Closing (which shall request, if legally available, the early termination of any waiting period applicable to such Closing under the HSR Act) and, which filing shall be made as promptly as reasonably practicable following any request thereof from the Investor, and (ii) supply as promptly as reasonably practicable any additional information and documentary material that may be requested pursuant to the HSR Act, and use reasonable best efforts to promptly take any and all steps necessary to avoid or eliminate each and every impediment and obtain all consents that may be required pursuant to the HSR Act. For the avoidance of doubt, from and after the date of this Agreement, the Investor may require the cooperation of the Company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at any time, and from time to time and on multiple occasions, prior to the final Closing. The Investor and the Company shall each be responsible for the payment of one-half of all filing fees associated with any filings under the HSR Act.</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20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the one hand, and the Investor, on the other hand, shall use reasonable best efforts to work cooperatively together to, as promptly as reasonably practicable, complete governmental processes pursuant to Section 721 in connection with the Subsequent Common Purchase. The Company and the Investor shall: (1) as promptly as reasonably practicable, and in any event within twenty (20) Business Days from date of this Agreement, submit a draft joint voluntary notice (“</w:t>
      </w:r>
      <w:r>
        <w:rPr>
          <w:rFonts w:ascii="Times New Roman" w:cs="Times New Roman" w:eastAsia="Times New Roman" w:hAnsi="Times New Roman"/>
          <w:sz w:val="18"/>
          <w:szCs w:val="18"/>
          <w:u w:val="single" w:color="auto"/>
          <w:color w:val="auto"/>
        </w:rPr>
        <w:t>Draft CFIUS Notice</w:t>
      </w:r>
      <w:r>
        <w:rPr>
          <w:rFonts w:ascii="Times New Roman" w:cs="Times New Roman" w:eastAsia="Times New Roman" w:hAnsi="Times New Roman"/>
          <w:sz w:val="18"/>
          <w:szCs w:val="18"/>
          <w:color w:val="auto"/>
        </w:rPr>
        <w:t>”) to CFIUS and complete the consultation process contemplated by 31 C.F.R. § 800.501(g) with respect to the contemplated Subsequent Common Purchase; (2) as promptly as practicable and, in any event, within five (5) Business Days of CFIUS notification that the Draft CFIUS Notice meets the requirements of 31 C.F.R. § 800.502 and is, accordingly, complete, file with CFIUS the formal Joint Voluntary Notice as contemplated by 31 C.F.R. § 800.501(a); (3) provide CFIUS with additional or supplemental information responsive to any requests from CFIUS or its member agencies during the CFIUS process within the time frame designated by CFIUS; and (4) use their respective reasonable best efforts to, as promptly as practicable, obtain CFIUS Clearance and to prevent impediments to the consummation of the Transactions.</w:t>
      </w:r>
    </w:p>
    <w:p>
      <w:pPr>
        <w:spacing w:after="0" w:line="188" w:lineRule="exact"/>
        <w:rPr>
          <w:rFonts w:ascii="Times New Roman" w:cs="Times New Roman" w:eastAsia="Times New Roman" w:hAnsi="Times New Roman"/>
          <w:sz w:val="18"/>
          <w:szCs w:val="18"/>
          <w:color w:val="auto"/>
        </w:rPr>
      </w:pPr>
    </w:p>
    <w:p>
      <w:pPr>
        <w:ind w:right="20" w:firstLine="1304"/>
        <w:spacing w:after="0" w:line="261" w:lineRule="auto"/>
        <w:tabs>
          <w:tab w:leader="none" w:pos="20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elsewhere in this Agreement, the Investor’s “reasonable best efforts” shall not require Investor to take any action, or refrain from taking any action, if doing so would, individually or in the aggregate, have a “Regulatory Material Adverse Effect”. Solely for purposes of this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Regulatory Material Adverse Effect</w:t>
      </w:r>
      <w:r>
        <w:rPr>
          <w:rFonts w:ascii="Times New Roman" w:cs="Times New Roman" w:eastAsia="Times New Roman" w:hAnsi="Times New Roman"/>
          <w:sz w:val="18"/>
          <w:szCs w:val="18"/>
          <w:color w:val="auto"/>
        </w:rPr>
        <w:t>” means CFIUS mitigation terms or other actions pursuant to any Antitrust Law that require:</w:t>
      </w:r>
    </w:p>
    <w:p>
      <w:pPr>
        <w:spacing w:after="0" w:line="179" w:lineRule="exact"/>
        <w:rPr>
          <w:rFonts w:ascii="Times New Roman" w:cs="Times New Roman" w:eastAsia="Times New Roman" w:hAnsi="Times New Roman"/>
          <w:sz w:val="18"/>
          <w:szCs w:val="18"/>
          <w:color w:val="auto"/>
        </w:rPr>
      </w:pPr>
    </w:p>
    <w:p>
      <w:pPr>
        <w:ind w:left="1300" w:right="240" w:firstLine="652"/>
        <w:spacing w:after="0" w:line="266" w:lineRule="auto"/>
        <w:tabs>
          <w:tab w:leader="none" w:pos="265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or otherwise disposing of, or holding separate and agreeing to sell or otherwise dispose of, key assets or key categories of assets or businesses of the Investor or its Affiliates that are material to the Investor’s or its Affiliates’ investments and operations in electric vehicle manufacturing;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ind w:left="1300" w:right="340" w:firstLine="652"/>
        <w:spacing w:after="0" w:line="282" w:lineRule="auto"/>
        <w:tabs>
          <w:tab w:leader="none" w:pos="266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any existing key relationships, contractual rights or obligations of the Investor or its Affiliates that are material to the Investor’s or its Affiliates’ investments and operations in electric vehicle manufacturing;</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68"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any existing or contractually planned key venture or other arrangement of the Investor or its Affiliates that are material to the Investor’s or its Affiliates’ investments and operations in electric vehicle manufacturing; or</w:t>
      </w:r>
    </w:p>
    <w:p>
      <w:pPr>
        <w:spacing w:after="0" w:line="161" w:lineRule="exact"/>
        <w:rPr>
          <w:rFonts w:ascii="Times New Roman" w:cs="Times New Roman" w:eastAsia="Times New Roman" w:hAnsi="Times New Roman"/>
          <w:sz w:val="18"/>
          <w:szCs w:val="18"/>
          <w:color w:val="auto"/>
        </w:rPr>
      </w:pPr>
    </w:p>
    <w:p>
      <w:pPr>
        <w:ind w:left="1300" w:right="180" w:firstLine="652"/>
        <w:spacing w:after="0" w:line="282" w:lineRule="auto"/>
        <w:tabs>
          <w:tab w:leader="none" w:pos="2657"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adversely impacting in a material manner a key business line or business opportunity of the Investor or any of its Affiliates that is not focused on electric vehicle manufacturing.</w:t>
      </w:r>
    </w:p>
    <w:p>
      <w:pPr>
        <w:spacing w:after="0" w:line="161" w:lineRule="exact"/>
        <w:rPr>
          <w:rFonts w:ascii="Times New Roman" w:cs="Times New Roman" w:eastAsia="Times New Roman" w:hAnsi="Times New Roman"/>
          <w:sz w:val="18"/>
          <w:szCs w:val="18"/>
          <w:color w:val="auto"/>
        </w:rPr>
      </w:pPr>
    </w:p>
    <w:p>
      <w:pPr>
        <w:ind w:firstLine="1304"/>
        <w:spacing w:after="0" w:line="253" w:lineRule="auto"/>
        <w:tabs>
          <w:tab w:leader="none" w:pos="204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Investor shall promptly notify the other party of any substantive communication it or any of its Affiliates receives from any Governmental Authority relating to the matters that are the subject of this Agreement and permit the other party to review in advance any proposed communication by such party to any Governmental Authority to the extent that it does not contain confidential business information, the Governmental Authority has requested or directed that the communication not be shared, or sharing of the information would waive a privilege. Subject to the requirements of applicable Law, the Company and the Investor will provide each other with copies of all substantive correspondence, filings or communications between them or any of their Representatives, on the one hand, and any Governmental Authority or members of its staff, on the other hand, with respect to this Agreement and the Transactions so long as they do not contain confidential business information or information that the Governmental Authority has requested or directed that they not be shared, or sharing of the information would waive a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the Investor shall use reasonable efforts to provide alternative, redacted or substitute documents or information to the greatest extent possible and in a manner that would not result in the loss of the ability to assert attorney-client privilege, attorney work product protection or other legal privileges or otherwise violate the requirements of applicable Law or any Governmental Authority request or direction not to share information). The Company and the Investor shall each be responsible for the payment of one-half of all filing fees in connection with the submission of the Draft CFIUS Notice.</w:t>
      </w:r>
    </w:p>
    <w:p>
      <w:pPr>
        <w:spacing w:after="0" w:line="187" w:lineRule="exact"/>
        <w:rPr>
          <w:rFonts w:ascii="Times New Roman" w:cs="Times New Roman" w:eastAsia="Times New Roman" w:hAnsi="Times New Roman"/>
          <w:sz w:val="18"/>
          <w:szCs w:val="18"/>
          <w:color w:val="auto"/>
        </w:rPr>
      </w:pPr>
    </w:p>
    <w:p>
      <w:pPr>
        <w:ind w:right="240" w:firstLine="1304"/>
        <w:spacing w:after="0" w:line="282" w:lineRule="auto"/>
        <w:tabs>
          <w:tab w:leader="none" w:pos="203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it will not exercise the warrants it holds as of the date of this Agreement at any time prior to CFIUS Clearance or CFIUS Turndown.</w:t>
      </w:r>
    </w:p>
    <w:p>
      <w:pPr>
        <w:spacing w:after="0" w:line="161" w:lineRule="exact"/>
        <w:rPr>
          <w:rFonts w:ascii="Times New Roman" w:cs="Times New Roman" w:eastAsia="Times New Roman" w:hAnsi="Times New Roman"/>
          <w:sz w:val="18"/>
          <w:szCs w:val="18"/>
          <w:color w:val="auto"/>
        </w:rPr>
      </w:pPr>
    </w:p>
    <w:p>
      <w:pPr>
        <w:ind w:right="40" w:firstLine="1304"/>
        <w:spacing w:after="0" w:line="257" w:lineRule="auto"/>
        <w:tabs>
          <w:tab w:leader="none" w:pos="2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or the Certificate of Designations, the Company and the Investor agree that as of and following the Initial Closing and until the CFIUS Clearance is received, neither the Investor nor any of its Affiliates shall obtain (i) control (as defined in 31 C.F.R. § 800.208) of the Company, including the power to determine, direct or decide any important matters for LMC;</w:t>
      </w:r>
    </w:p>
    <w:p>
      <w:pPr>
        <w:spacing w:after="0" w:line="1" w:lineRule="exact"/>
        <w:rPr>
          <w:rFonts w:ascii="Times New Roman" w:cs="Times New Roman" w:eastAsia="Times New Roman" w:hAnsi="Times New Roman"/>
          <w:sz w:val="18"/>
          <w:szCs w:val="18"/>
          <w:color w:val="auto"/>
        </w:rPr>
      </w:pPr>
    </w:p>
    <w:p>
      <w:pPr>
        <w:ind w:right="20" w:firstLine="8"/>
        <w:spacing w:after="0" w:line="251" w:lineRule="auto"/>
        <w:tabs>
          <w:tab w:leader="none" w:pos="2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any material nonpublic technical information (as defined in 31 C.F.R. § 801.208) in the possession of the Company (which shall not include financial information about the Company), including access to any information not already in the public domain that is necessary to design, fabricate, develop, test, produce, or manufacture the Company’s products, including processes, techniques, or methods, other than the information provided by the Company to the Investor or its Affiliates under the Manufacturing Supply Agreement used for the purpose of manufacturing the Company’s Endurance® vehicle; (iii) membership or observer rights on the board of directors of the Company or the right to nominate an individual to a position on the board of directors of the Company; or (iv) any involvement (other than through voting of shares, subject to the other limitations set forth herein and in the Certificate of Designations) in substantive decision-making of the Company regarding the use, development, acquisition, or release of any of the Company’s critical technologies (as defined in 31 C.F.R. § 801.204). To the extent that any term in this Agreement or the Certificate of Designations would grant any of the rights described in clauses (i)-(iv) of the foregoing sentence to the Investor or its Affiliates, that term shall have no effect until such time as the CFIUS Clearance is received.</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u w:val="single" w:color="auto"/>
          <w:color w:val="auto"/>
        </w:rPr>
        <w:t>Corporate 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40" w:hanging="736"/>
        <w:spacing w:after="0"/>
        <w:tabs>
          <w:tab w:leader="none" w:pos="20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any Series A Preferred Stock is outstanding, the Company shall:</w:t>
      </w:r>
    </w:p>
    <w:p>
      <w:pPr>
        <w:spacing w:after="0" w:line="225" w:lineRule="exact"/>
        <w:rPr>
          <w:rFonts w:ascii="Times New Roman" w:cs="Times New Roman" w:eastAsia="Times New Roman" w:hAnsi="Times New Roman"/>
          <w:sz w:val="18"/>
          <w:szCs w:val="18"/>
          <w:color w:val="auto"/>
        </w:rPr>
      </w:pPr>
    </w:p>
    <w:p>
      <w:pPr>
        <w:ind w:left="1300" w:firstLine="652"/>
        <w:spacing w:after="0" w:line="266" w:lineRule="auto"/>
        <w:tabs>
          <w:tab w:leader="none" w:pos="265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take all lawful action within its control to cause the authorized capital stock of the Company to include a sufficient number of authorized but unissued shares of Common Stock to satisfy the conversion requirements of all shares of the Series A Preferred Stock then outstanding and all accrued and unpaid dividends thereon; and</w:t>
      </w:r>
    </w:p>
    <w:p>
      <w:pPr>
        <w:spacing w:after="0" w:line="175" w:lineRule="exact"/>
        <w:rPr>
          <w:rFonts w:ascii="Times New Roman" w:cs="Times New Roman" w:eastAsia="Times New Roman" w:hAnsi="Times New Roman"/>
          <w:sz w:val="18"/>
          <w:szCs w:val="18"/>
          <w:color w:val="auto"/>
        </w:rPr>
      </w:pPr>
    </w:p>
    <w:p>
      <w:pPr>
        <w:jc w:val="both"/>
        <w:ind w:left="1300" w:right="60" w:firstLine="652"/>
        <w:spacing w:after="0" w:line="261" w:lineRule="auto"/>
        <w:tabs>
          <w:tab w:leader="none" w:pos="266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effect any voluntary deregistration under the Exchange Act or any voluntary delisting of the Common Stock from Nasdaq other than in connection with a Change of Control (as defined in the Certificate of Designations) pursuant to which the Company agrees to satisfy, or will otherwise cause the satisfaction, in full of its obligations under Section 9(a) of the Certificate of Designations or is otherwise consistent with the terms set forth in Section 9(i) of the Certificate of Designations.</w:t>
      </w:r>
    </w:p>
    <w:p>
      <w:pPr>
        <w:spacing w:after="0" w:line="179" w:lineRule="exact"/>
        <w:rPr>
          <w:rFonts w:ascii="Times New Roman" w:cs="Times New Roman" w:eastAsia="Times New Roman" w:hAnsi="Times New Roman"/>
          <w:sz w:val="18"/>
          <w:szCs w:val="18"/>
          <w:color w:val="auto"/>
        </w:rPr>
      </w:pPr>
    </w:p>
    <w:p>
      <w:pPr>
        <w:ind w:right="160" w:firstLine="1304"/>
        <w:spacing w:after="0" w:line="282" w:lineRule="auto"/>
        <w:tabs>
          <w:tab w:leader="none" w:pos="20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or upon the Initial Closing, the Company shall file with the Secretary of State of the State of Delaware the Certificate of Designations in the form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60" w:firstLine="1304"/>
        <w:spacing w:after="0" w:line="261" w:lineRule="auto"/>
        <w:tabs>
          <w:tab w:leader="none" w:pos="20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occurrence since the date of this Agreement until the Initial Closing would have resulted in an adjustment to the Conversion Rate pursuant to the Certificate of Designations if the Series A Preferred Stock had been issued and outstanding since the date of this Agreement, the Company shall adjust the Conversion Rate, effective as of the Initial Closing, in the same manner as would have been required by the Certificate of Designations if the Series A Preferred Stock had been issued and outstanding since the date of this Agreement.</w:t>
      </w:r>
    </w:p>
    <w:p>
      <w:pPr>
        <w:spacing w:after="0" w:line="179" w:lineRule="exact"/>
        <w:rPr>
          <w:rFonts w:ascii="Times New Roman" w:cs="Times New Roman" w:eastAsia="Times New Roman" w:hAnsi="Times New Roman"/>
          <w:sz w:val="18"/>
          <w:szCs w:val="18"/>
          <w:color w:val="auto"/>
        </w:rPr>
      </w:pPr>
    </w:p>
    <w:p>
      <w:pPr>
        <w:ind w:right="520" w:firstLine="1304"/>
        <w:spacing w:after="0" w:line="282" w:lineRule="auto"/>
        <w:tabs>
          <w:tab w:leader="none" w:pos="204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following the Subsequent Common Closing, to consider in good faith, but will not be obligated to nominate, any recommendations made by the Investor for any non-executive nominees to the Board.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right="40" w:firstLine="1304"/>
        <w:spacing w:after="0" w:line="258" w:lineRule="auto"/>
        <w:tabs>
          <w:tab w:leader="none" w:pos="203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any Series A Preferred Stock is outstanding, the Company shall not adopt any stockholder rights agreement, “poison pill” or similar anti-takeover agreement or plan that is applicable to the Investor Parties unless the Company has excluded the Investor Parties from the definition of “acquiring person” (or such similar term) as such term is defined in such anti-takeover agreement to the extent of the Investor Parties’ beneficial ownership of Series A Preferred Stock or Common Stock that had been acquired from the Company and is owned as of the date any such agreement or plan is adopted by the Company.</w:t>
      </w:r>
    </w:p>
    <w:p>
      <w:pPr>
        <w:spacing w:after="0" w:line="183" w:lineRule="exact"/>
        <w:rPr>
          <w:rFonts w:ascii="Times New Roman" w:cs="Times New Roman" w:eastAsia="Times New Roman" w:hAnsi="Times New Roman"/>
          <w:sz w:val="18"/>
          <w:szCs w:val="18"/>
          <w:color w:val="auto"/>
        </w:rPr>
      </w:pPr>
    </w:p>
    <w:p>
      <w:pPr>
        <w:ind w:firstLine="1304"/>
        <w:spacing w:after="0" w:line="253" w:lineRule="auto"/>
        <w:tabs>
          <w:tab w:leader="none" w:pos="20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upon the Initial Closing, (i) the Company and the Investor shall have: (A) amended, or caused to be amended, the MIH JV LLC Agreement to terminate all obligations of Lordstown EV Corporation and Foxconn EV Technology, Inc. thereunder, including any obligations to make capital contributions and (B) terminated or cause to be terminated the Note, Guaranty and Security Agreement, dated June 24, 2022, issued by Lordstown EV Corporation and guaranteed by the Company and Lordstown EV Sales LLC (the “Note”) and (ii) the Investor shall have released or cause to be released all Liens on assets of Lordstown EV Corporation or the Company and paid Lordstown EV Corporation the sum of (x) $436,150 for services provided by Lordstown EV Corporation from May 11, 2022 through September 30, 2022 and (y) $144,291 for reimbursement of expenses. Promptly following the Initial Closing, the Company and the Investor shall take all such actions as necessary or reasonably desirable to (i) cause MIH JV to distribute all remaining funds held by it to Foxconn EV Technology, Inc. (as a distribution for amounts contributed by it and as a repayment in full of any loans advanced by it to Lordstown EV Corporation under the Note) and (ii) liquidate, wind up and dissolve the MIH JV. Despite the liquidation of the MIH JV, it is the Company’s and the Investor’s continued intent that the Investor and its Affiliates will utilize Lordstown Motors Corp. as their preferred North American vehicle development partner for customers and partners who are seeking full or partial vehicle product development, engineering, industrialization, and launch support capabilities, beyond contract manufacturing, in North America, subject in each case to customer and partner specific requirements and approval.</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The Investor Parties and the Company shall, and shall cause their Affiliates to, consult with each other before issuing, and give each other the opportunity to review and comment upon, any press release or other public statements with respect to the Transaction Documents or the Transactions, and shall not, and shall cause their Affiliates not to, issue any such press release or make any such public statement prior to such consultation, except as may be required by applicable Law, Judgment, court process or the rules and regulations of any national securities exchange or national securities quotation system. Notwithstanding the forgoing,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shall not apply to any press release or other public statement made by the Company or the Investor Parties (a) which does not contain any information relating to the Transactions that has not been previously announced or made public in accordance with the terms of this Agreement or (b) is made in the ordinary course of business and does not relate specifically to the signing of the Transaction Documents or the Transactions. Notwithstanding anything to the contrary in this Agreement, in no event shall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limit disclosure by any Investor Party and their respective Affiliates of ordinary course communications regarding this Agreement and the Transactions to its existing or prospective equityholders, members, managers and investors of any Affiliates of such Person.</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Investor Parties will, and will direct their Affiliates and Representatives who actually receive Confidential Information to, keep confidential any information (including oral, written and electronic information) concerning the Company, its Subsidiaries or its Affiliates that may be furnished to any Investor Party, its Affiliates or its or their respective Representatives by or on behalf of the Company or any of its Representatives pursuant to this Agreement, including any such information provided pursuant to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and to use the Confidential Information solely for the purposes of monitoring, administering or managing the Investor Parties’ investment in the Company made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Confidential Information will not include information that (a) was or becomes available to the public other than as a result of a breach of any confidentiality obligation in this Agreement by any Investor Party or its Affiliates or their respective Representatives, (b) was or becomes available to any Investor Party or its Affiliates or their respective Representatives from a source other than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reasonably believed by such Investor Party or its Affiliates not to be subject to an obligation of confidentiality (whether by agreement or otherwise), (c) at the time of disclosure is already in the possession of an Investor Party or its Affiliates or their respective Representatives or (d) was independently developed by any Investor Party or its Affiliates or their respective Representatives without reference to, incorporation of, or other use of any Confidential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Investor Party may disclose Confidential Information (i) to its attorneys, accountants, consultants and financial and other professional advisors to the extent necessary to obtain their services in connection with its investment in the Company, (ii) to any prospective purchaser of Acquired Shares from such Investor Party, as long as such prospective purchaser agrees to be bound by similar confidentiality or non-disclosure terms as are contained in this Agreement (with the Company as an express third party beneficiary of such agreement), (iii) to any Affiliate of such Investor Parties and their Affiliates and their respective directors, officers, employees, consultants and representatives, in each case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recipients of such confidential information are directed to abide by the confidentiality and non-disclosure obligations contained herein), (iv) as may be reasonably determined by such Investor Party to be necessary in connection with such Investor Party’s enforcement of its rights in connection with this Agreement or its investment in the Company, or (v) as may otherwise be required by Law or legal, judicial or regulatory process;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any breach of the confidentiality and use terms herein by any Person to whom such Investor Party may disclose confidential information pursuant to clauses (i) and (iii) of the preceding proviso shall be attributable to such Investor Party for purposes of determining such Investor Party’s compliance with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except those who have entered into a separate confidentiality or non-disclosure agreement or obligation with the Company and (y) that such Investor Party takes commercially reasonable steps (at the Company’s sole expense) to minimize the extent of any required disclosure described in clause (v) of the preceding proviso.</w:t>
      </w:r>
    </w:p>
    <w:p>
      <w:pPr>
        <w:spacing w:after="0" w:line="20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Nasdaq Listing of Shares</w:t>
      </w:r>
      <w:r>
        <w:rPr>
          <w:rFonts w:ascii="Times New Roman" w:cs="Times New Roman" w:eastAsia="Times New Roman" w:hAnsi="Times New Roman"/>
          <w:sz w:val="18"/>
          <w:szCs w:val="18"/>
          <w:color w:val="auto"/>
        </w:rPr>
        <w:t>. To the extent the Company has not done so prior to the date of this Agreement, the Company shall promptly submit a Listing of Additional Shares Notification Form to Nasdaq with respect to the shares of Common Stock issued to the Investor pursuant to this Agreement and the shares of Common Stock issuable upon the conversion of the Series A Preferred Stock issued to the Investor pursuant to this Agreement and pursuant to the Certificate of Designations. From time to time following the Initial Closing Date, as necessary, the Company shall submit additional Listing of Additional Shares Notification Forms to Nasdaq in order to cover the full number of shares of Common Stock issuable upon conversion of the then outstanding shares of Series A Preferred Stock.</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1" w:name="page82"/>
    <w:bookmarkEnd w:id="81"/>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The Investor agrees that until the date that is the later of (i) December 31, 2024 and (ii) 90 days after the first day on which no Investor Designee serves on the Board and the Investor has no rights (or has irrevocably waived its right) under Section 5.09 (except for Section 5.09(f)), without the prior written approval of the Board, the Investor will not, directly or indirectly, and will cause its Affiliates and its and their respective principals, directors, officers, employees and agents and other Representatives acting on its behalf, acting alone or in concert with others, not to:</w:t>
      </w:r>
    </w:p>
    <w:p>
      <w:pPr>
        <w:spacing w:after="0" w:line="180" w:lineRule="exact"/>
        <w:rPr>
          <w:sz w:val="20"/>
          <w:szCs w:val="20"/>
          <w:color w:val="auto"/>
        </w:rPr>
      </w:pPr>
    </w:p>
    <w:p>
      <w:pPr>
        <w:ind w:firstLine="1304"/>
        <w:spacing w:after="0" w:line="253" w:lineRule="auto"/>
        <w:tabs>
          <w:tab w:leader="none" w:pos="20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offer or seek to acquire, agree to acquire or make a proposal to acquire, by purchase or otherwise, any equity securities or direct or indirect rights to acquire any equity securities of the Company, any securities convertible into or exchangeable for any such equity securities, any options or other derivative securities or contracts or instruments in any way related to the price of shares of Common Stock (solely to the extent that, after giving effect to such acquisition, the Investor Parties and their Affiliates would beneficially own, in the aggregate (A) prior to Subsequent Common Closing, an amount greater than nine and ninety-nine-one-hundredths percent (9.99%) of the capital stock of the Company that is entitled to vote generally in any election of directors of the board of directors of the Company; (B) prior to the Requisite Stockholder Approval (as defined in the Certificate of Designations) being obtained, an amount greater than nineteen and ninety-nine-one-hundredths percent (19.99%) of the capital stock of the Company that is entitled to vote generally in any election of directors of the board of directors of the Company; and (C) at all times following the Subsequent Common Closing and the Requisite Stockholder Approval being obtained, an amount greater than twenty-four percent (24)% of the capital stock of the Company that is entitled to vote generally in any election of directors of the board of directors of the Company (which calculation shall, in each case, include the notional or other number of shares of Common Stock specified in the documentation for any Contract to which any of the Investor Parties are party which is designed to produce economic benefits and risks to any of the Investor Parties that correspond substantially to the ownership by the Investor Parties of shares of Common Stock, except in the case of any such Contract which is settled only in cash));</w:t>
      </w:r>
    </w:p>
    <w:p>
      <w:pPr>
        <w:spacing w:after="0" w:line="187" w:lineRule="exact"/>
        <w:rPr>
          <w:rFonts w:ascii="Times New Roman" w:cs="Times New Roman" w:eastAsia="Times New Roman" w:hAnsi="Times New Roman"/>
          <w:sz w:val="18"/>
          <w:szCs w:val="18"/>
          <w:color w:val="auto"/>
        </w:rPr>
      </w:pPr>
    </w:p>
    <w:p>
      <w:pPr>
        <w:ind w:right="20" w:firstLine="1304"/>
        <w:spacing w:after="0" w:line="258" w:lineRule="auto"/>
        <w:tabs>
          <w:tab w:leader="none" w:pos="20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with respect to, or offer, seek, propose or indicate an interest in (in each case with or without conditions), any merger, consolidation, business combination, tender or exchange offer, recapitalization, reorganization or purchase of more than 50% of the assets, properties or securities of the Company or any Subsidiary of the Company, or any other extraordinary transaction involving the Company or any Subsidiary of the Company or any of their respective securities, or enter into any discussions, negotiations, arrangements, understandings or agreements (whether written or oral) with any other Person regarding any of the foregoing;</w:t>
      </w:r>
    </w:p>
    <w:p>
      <w:pPr>
        <w:spacing w:after="0" w:line="183"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proposal or statement of inquiry or disclose any intention, plan or arrangement inconsistent with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2" w:name="page83"/>
    <w:bookmarkEnd w:id="82"/>
    <w:p>
      <w:pPr>
        <w:ind w:right="280" w:firstLine="1304"/>
        <w:spacing w:after="0" w:line="282" w:lineRule="auto"/>
        <w:tabs>
          <w:tab w:leader="none" w:pos="20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assist, knowingly encourage or direct any Person to do, or to advise, assist, knowingly encourage or direct any other Person to do, any of the foregoing;</w:t>
      </w:r>
    </w:p>
    <w:p>
      <w:pPr>
        <w:spacing w:after="0" w:line="161" w:lineRule="exact"/>
        <w:rPr>
          <w:rFonts w:ascii="Times New Roman" w:cs="Times New Roman" w:eastAsia="Times New Roman" w:hAnsi="Times New Roman"/>
          <w:sz w:val="18"/>
          <w:szCs w:val="18"/>
          <w:color w:val="auto"/>
        </w:rPr>
      </w:pPr>
    </w:p>
    <w:p>
      <w:pPr>
        <w:ind w:right="560" w:firstLine="1304"/>
        <w:spacing w:after="0" w:line="282" w:lineRule="auto"/>
        <w:tabs>
          <w:tab w:leader="none" w:pos="20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that would, in effect, require the Company to make a public announcement regarding the possibility of a transaction or any of the events described in this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304"/>
        <w:spacing w:after="0" w:line="266" w:lineRule="auto"/>
        <w:tabs>
          <w:tab w:leader="none" w:pos="20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agreements, arrangements or understandings with any third party (including security holders of the Company, but excluding, for the avoidance of doubt, any Investor Party) with respect to any of the foregoing, including, forming, joining or in any way participating in a “group” (as defined in Section 13(d)(3) of the Exchange Act) with any third party in connection with any of the foregoing.</w:t>
      </w:r>
    </w:p>
    <w:p>
      <w:pPr>
        <w:spacing w:after="0" w:line="175" w:lineRule="exact"/>
        <w:rPr>
          <w:rFonts w:ascii="Times New Roman" w:cs="Times New Roman" w:eastAsia="Times New Roman" w:hAnsi="Times New Roman"/>
          <w:sz w:val="18"/>
          <w:szCs w:val="18"/>
          <w:color w:val="auto"/>
        </w:rPr>
      </w:pPr>
    </w:p>
    <w:p>
      <w:pPr>
        <w:ind w:right="40" w:firstLine="1304"/>
        <w:spacing w:after="0" w:line="258" w:lineRule="auto"/>
        <w:tabs>
          <w:tab w:leader="none" w:pos="20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 any way encourage or participate in any “solicitation” of “proxies” (whether or not relating to the election or removal of directors), as such terms are used in the rules of the SEC, to vote, or knowingly seek to advise or influence any Person with respect to voting of, any voting securities of the Company or any of its Subsidiaries, or call or seek to call a meeting of the Company’s stockholders or initiate any stockholder proposal for action by the Company’s stockholders, or seek election to or to place a representative on the Board or seek the removal of any director from the Board;</w:t>
      </w:r>
    </w:p>
    <w:p>
      <w:pPr>
        <w:spacing w:after="0" w:line="183" w:lineRule="exact"/>
        <w:rPr>
          <w:rFonts w:ascii="Times New Roman" w:cs="Times New Roman" w:eastAsia="Times New Roman" w:hAnsi="Times New Roman"/>
          <w:sz w:val="18"/>
          <w:szCs w:val="18"/>
          <w:color w:val="auto"/>
        </w:rPr>
      </w:pPr>
    </w:p>
    <w:p>
      <w:pPr>
        <w:jc w:val="both"/>
        <w:ind w:right="60" w:firstLine="1304"/>
        <w:spacing w:after="0" w:line="261" w:lineRule="auto"/>
        <w:tabs>
          <w:tab w:leader="none" w:pos="20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request the Company or any of its Representatives, directly or indirectly, to amend or waive any provision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shall not prohibit the Investor Parties from making a confidential request to the Company seeking an amendment or waiver of the provisions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which the Company may accept or reject in its sole discretion, so long as any such request is made in a manner that does not require public disclosure thereof by any Person;</w:t>
      </w:r>
    </w:p>
    <w:p>
      <w:pPr>
        <w:spacing w:after="0" w:line="179" w:lineRule="exact"/>
        <w:rPr>
          <w:rFonts w:ascii="Times New Roman" w:cs="Times New Roman" w:eastAsia="Times New Roman" w:hAnsi="Times New Roman"/>
          <w:sz w:val="18"/>
          <w:szCs w:val="18"/>
          <w:color w:val="auto"/>
        </w:rPr>
      </w:pPr>
    </w:p>
    <w:p>
      <w:pPr>
        <w:ind w:right="420" w:firstLine="1304"/>
        <w:spacing w:after="0" w:line="282" w:lineRule="auto"/>
        <w:tabs>
          <w:tab w:leader="none" w:pos="20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contest the validity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or make, initiate, take or participate in any demand, Action (legal or otherwise) or proposal to amend, waive or terminate any provision of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right="500" w:firstLine="1304"/>
        <w:spacing w:after="0" w:line="282" w:lineRule="auto"/>
        <w:tabs>
          <w:tab w:leader="none" w:pos="20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 voting trust, voting agreement or similar voting arrangement with respect to any shares of Common Stock or Series A Preferred Stock (in each case, other than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will limit (1) the Investor Parties’ ability to vote (subject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transfer or convert (subject to Section 6 (Right of the Holders to Convert) of the Certificate of Designations) any Series A Preferred Stock or Common Stock, privately make and submit to the Board any proposal that is intended by such Investor Party to be made and submitted on a non-publicly disclosed or announced basis (and would not reasonably be expect to require public disclosure by any Person), participate in rights offerings made by the Company to all holders of its Common Stock, receive any dividends or similar distributions with respect to any securities of the Company held by such Investor Party, tender shares of Common Stock or Series A Preferred Stock into any tender or exchange offer, effect an adjustment to the Conversion Rate pursuant to of the Certificate of Designations) or otherwise exercise rights under its Common Stock or Series A Preferred Stock or (2) the ability of any Investor Director to act in his or her capacity as a member of the Board including, but not limited to, his or her ability to vote or otherwise exercise his or her fiduciary duties.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5.08</w:t>
      </w:r>
      <w:r>
        <w:rPr>
          <w:sz w:val="20"/>
          <w:szCs w:val="20"/>
          <w:color w:val="auto"/>
        </w:rPr>
        <w:tab/>
      </w: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40" w:firstLine="1304"/>
        <w:spacing w:after="0" w:line="282" w:lineRule="auto"/>
        <w:tabs>
          <w:tab w:leader="none" w:pos="20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or other instruments representing the Common Stock, the Series A Preferred Stock or Common Stock issued upon conversion of the Series A Preferred Stock will bear a legend substantially to the following effect:</w:t>
      </w:r>
    </w:p>
    <w:p>
      <w:pPr>
        <w:spacing w:after="0" w:line="162" w:lineRule="exact"/>
        <w:rPr>
          <w:sz w:val="20"/>
          <w:szCs w:val="20"/>
          <w:color w:val="auto"/>
        </w:rPr>
      </w:pPr>
    </w:p>
    <w:p>
      <w:pPr>
        <w:ind w:left="660" w:right="20"/>
        <w:spacing w:after="0" w:line="281" w:lineRule="auto"/>
        <w:rPr>
          <w:sz w:val="20"/>
          <w:szCs w:val="20"/>
          <w:color w:val="auto"/>
        </w:rPr>
      </w:pPr>
      <w:r>
        <w:rPr>
          <w:rFonts w:ascii="Times New Roman" w:cs="Times New Roman" w:eastAsia="Times New Roman" w:hAnsi="Times New Roman"/>
          <w:sz w:val="17"/>
          <w:szCs w:val="17"/>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OR SUCH LAWS.</w:t>
      </w:r>
    </w:p>
    <w:p>
      <w:pPr>
        <w:spacing w:after="0" w:line="164"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INSTRUMENT ARE SUBJECT TO OWNERSHIP AND OTHER RESTRICTIONS SET FORTH IN THE INVESTMENT AGREEMENT, DATED NOVEMBER 7, 2022, BY AND BETWEEN LORDSTOWN MOTORS CORP. AND THE INVESTOR PARTY THERETO, AS MAY BE AMENDED FROM TIME TO TIME, COPIES OF WHICH ARE ON FILE WITH AND AVAILABLE FROM THE SECRETARY OF THE ISSUER, WITHOUT COST.</w:t>
      </w:r>
    </w:p>
    <w:p>
      <w:pPr>
        <w:spacing w:after="0" w:line="180" w:lineRule="exact"/>
        <w:rPr>
          <w:sz w:val="20"/>
          <w:szCs w:val="20"/>
          <w:color w:val="auto"/>
        </w:rPr>
      </w:pPr>
    </w:p>
    <w:p>
      <w:pPr>
        <w:ind w:firstLine="1304"/>
        <w:spacing w:after="0" w:line="266" w:lineRule="auto"/>
        <w:tabs>
          <w:tab w:leader="none" w:pos="20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the applicable Investor Party, upon receipt by the Company of an opinion of counsel reasonably satisfactory to the Company to the effect that such legend is no longer required under the Securities Act and applicable state securities laws, the Company shall promptly cause the first paragraph of the legend to be removed from any certificate for Series A Preferred Stock or Common Stock.</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40" w:firstLine="1304"/>
        <w:spacing w:after="0" w:line="255" w:lineRule="auto"/>
        <w:tabs>
          <w:tab w:leader="none" w:pos="203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prior the Subsequent Common Closing, the Board shall have taken all action necessary to cause two (2) Investor Designees to be appointed as members of the Board, effective as of the Subsequent Common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Investor shall have designated such Investor Designees at least ten (10) Business Days prior to the Subsequent Common Closing. If the Investor’s designation of such Investor Designees occurs less than ten (10) Business Days prior to the Subsequent Common Closing, then the Board shall take all action necessary to cause such two</w:t>
      </w:r>
    </w:p>
    <w:p>
      <w:pPr>
        <w:spacing w:after="0" w:line="2" w:lineRule="exact"/>
        <w:rPr>
          <w:rFonts w:ascii="Times New Roman" w:cs="Times New Roman" w:eastAsia="Times New Roman" w:hAnsi="Times New Roman"/>
          <w:sz w:val="18"/>
          <w:szCs w:val="18"/>
          <w:color w:val="auto"/>
        </w:rPr>
      </w:pPr>
    </w:p>
    <w:p>
      <w:pPr>
        <w:ind w:right="40" w:firstLine="8"/>
        <w:spacing w:after="0" w:line="260" w:lineRule="auto"/>
        <w:tabs>
          <w:tab w:leader="none" w:pos="2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Designees to be appointed as members of the Board, as promptly as reasonably practicable following the Subsequent Common Closing (but in no event later than ten (10) Business Days thereafter).</w:t>
      </w:r>
    </w:p>
    <w:p>
      <w:pPr>
        <w:spacing w:after="0" w:line="181" w:lineRule="exact"/>
        <w:rPr>
          <w:rFonts w:ascii="Times New Roman" w:cs="Times New Roman" w:eastAsia="Times New Roman" w:hAnsi="Times New Roman"/>
          <w:sz w:val="18"/>
          <w:szCs w:val="18"/>
          <w:color w:val="auto"/>
        </w:rPr>
      </w:pPr>
    </w:p>
    <w:p>
      <w:pPr>
        <w:ind w:firstLine="1304"/>
        <w:spacing w:after="0" w:line="256" w:lineRule="auto"/>
        <w:tabs>
          <w:tab w:leader="none" w:pos="204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the First Investor Board Seat Fall-Away, at the written request of the Board, one of the Investor Directors shall immediately resign, and the Investor Parties shall cause one of the Investor Directors immediately to resign, from the Board effective as of the date of the First Investor Board Seat Fall-Away. Upon the occurrence of the Second Investor Board Seat Fall-Away, at the written request of the Board, the remaining Investor Directors shall immediately resign, and the Investor Parties shall cause such Investor Directors immediately to resign, from the Board effective as of the date of the Second Investor Board Seat Fall-Away, and the Investor Parties shall no longer have any rights under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including, for the avoidance of doubt, any designation and/or nomination rights under </w:t>
      </w:r>
      <w:r>
        <w:rPr>
          <w:rFonts w:ascii="Times New Roman" w:cs="Times New Roman" w:eastAsia="Times New Roman" w:hAnsi="Times New Roman"/>
          <w:sz w:val="18"/>
          <w:szCs w:val="18"/>
          <w:u w:val="single" w:color="auto"/>
          <w:color w:val="auto"/>
        </w:rPr>
        <w:t>Section 5.09(c)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4" w:name="page85"/>
    <w:bookmarkEnd w:id="84"/>
    <w:p>
      <w:pPr>
        <w:ind w:right="20" w:firstLine="1304"/>
        <w:spacing w:after="0" w:line="254" w:lineRule="auto"/>
        <w:tabs>
          <w:tab w:leader="none" w:pos="20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Subsequent Common Closing and until the occurrence of Second Investor Board Seat Fall-Away, at any annual meeting of the Company’s stockholders at which the term of an Investor Director shall expire, the Investor shall have the right to designate an Investor Designee for each Investor Director whose term is expiring at such annual meeting for election to the Board at such annual meeting. The Company shall include the Investor Designees designated by the Investor in accordance with this </w:t>
      </w:r>
      <w:r>
        <w:rPr>
          <w:rFonts w:ascii="Times New Roman" w:cs="Times New Roman" w:eastAsia="Times New Roman" w:hAnsi="Times New Roman"/>
          <w:sz w:val="18"/>
          <w:szCs w:val="18"/>
          <w:u w:val="single" w:color="auto"/>
          <w:color w:val="auto"/>
        </w:rPr>
        <w:t>Section 5.09(c)</w:t>
      </w:r>
      <w:r>
        <w:rPr>
          <w:rFonts w:ascii="Times New Roman" w:cs="Times New Roman" w:eastAsia="Times New Roman" w:hAnsi="Times New Roman"/>
          <w:sz w:val="18"/>
          <w:szCs w:val="18"/>
          <w:color w:val="auto"/>
        </w:rPr>
        <w:t xml:space="preserve"> in the Company’s slate of nominees for the applicable annual meeting of the Company’s stockholders and shall recommend that the Company’s stockholders vote in favor of such Investor Designees and shall support the Investor Designees in a manner no less rigorous and favorable than the manner in which the Company supports its other nominees in the aggregate. Without the prior written consent of the Investor, so long as the Investor is entitled to designate an Investor Designee for election to the Board in accordance with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the Board shall not remove any Investor Director from his or her directorship (except for “cause” within the meaning of Section 141 of the DGCL, as required by Law, the Certificate of Designations or the Company Charter Documents).</w:t>
      </w:r>
    </w:p>
    <w:p>
      <w:pPr>
        <w:spacing w:after="0" w:line="188" w:lineRule="exact"/>
        <w:rPr>
          <w:rFonts w:ascii="Times New Roman" w:cs="Times New Roman" w:eastAsia="Times New Roman" w:hAnsi="Times New Roman"/>
          <w:sz w:val="18"/>
          <w:szCs w:val="18"/>
          <w:color w:val="auto"/>
        </w:rPr>
      </w:pPr>
    </w:p>
    <w:p>
      <w:pPr>
        <w:ind w:right="180" w:firstLine="1304"/>
        <w:spacing w:after="0" w:line="266" w:lineRule="auto"/>
        <w:tabs>
          <w:tab w:leader="none" w:pos="20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death, disability, resignation or removal of any Investor Director as a member of the Board (in each case other than resignation pursuant to </w:t>
      </w:r>
      <w:r>
        <w:rPr>
          <w:rFonts w:ascii="Times New Roman" w:cs="Times New Roman" w:eastAsia="Times New Roman" w:hAnsi="Times New Roman"/>
          <w:sz w:val="18"/>
          <w:szCs w:val="18"/>
          <w:u w:val="single" w:color="auto"/>
          <w:color w:val="auto"/>
        </w:rPr>
        <w:t>Section 5.09(b)</w:t>
      </w:r>
      <w:r>
        <w:rPr>
          <w:rFonts w:ascii="Times New Roman" w:cs="Times New Roman" w:eastAsia="Times New Roman" w:hAnsi="Times New Roman"/>
          <w:sz w:val="18"/>
          <w:szCs w:val="18"/>
          <w:color w:val="auto"/>
        </w:rPr>
        <w:t xml:space="preserve">), the Investor may designate an Investor Designee to replace such Investor Director, as applicable, and, subject to </w:t>
      </w:r>
      <w:r>
        <w:rPr>
          <w:rFonts w:ascii="Times New Roman" w:cs="Times New Roman" w:eastAsia="Times New Roman" w:hAnsi="Times New Roman"/>
          <w:sz w:val="18"/>
          <w:szCs w:val="18"/>
          <w:u w:val="single" w:color="auto"/>
          <w:color w:val="auto"/>
        </w:rPr>
        <w:t>Section 5.09(e)</w:t>
      </w:r>
      <w:r>
        <w:rPr>
          <w:rFonts w:ascii="Times New Roman" w:cs="Times New Roman" w:eastAsia="Times New Roman" w:hAnsi="Times New Roman"/>
          <w:sz w:val="18"/>
          <w:szCs w:val="18"/>
          <w:color w:val="auto"/>
        </w:rPr>
        <w:t>, the Company shall cause such Investor Designee to fill such resulting vacancy.</w:t>
      </w:r>
    </w:p>
    <w:p>
      <w:pPr>
        <w:spacing w:after="0" w:line="175" w:lineRule="exact"/>
        <w:rPr>
          <w:rFonts w:ascii="Times New Roman" w:cs="Times New Roman" w:eastAsia="Times New Roman" w:hAnsi="Times New Roman"/>
          <w:sz w:val="18"/>
          <w:szCs w:val="18"/>
          <w:color w:val="auto"/>
        </w:rPr>
      </w:pPr>
    </w:p>
    <w:p>
      <w:pPr>
        <w:ind w:firstLine="1304"/>
        <w:spacing w:after="0" w:line="268" w:lineRule="auto"/>
        <w:tabs>
          <w:tab w:leader="none" w:pos="203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obligations to have any Investor Designee elected to the Board or nominate any Investor Designee for election as a director at any meeting of the Company’s stockholders pursuant to this </w:t>
      </w:r>
      <w:r>
        <w:rPr>
          <w:rFonts w:ascii="Times New Roman" w:cs="Times New Roman" w:eastAsia="Times New Roman" w:hAnsi="Times New Roman"/>
          <w:sz w:val="17"/>
          <w:szCs w:val="17"/>
          <w:u w:val="single" w:color="auto"/>
          <w:color w:val="auto"/>
        </w:rPr>
        <w:t>Section 5.09</w:t>
      </w:r>
      <w:r>
        <w:rPr>
          <w:rFonts w:ascii="Times New Roman" w:cs="Times New Roman" w:eastAsia="Times New Roman" w:hAnsi="Times New Roman"/>
          <w:sz w:val="17"/>
          <w:szCs w:val="17"/>
          <w:color w:val="auto"/>
        </w:rPr>
        <w:t>, as applicable, shall in each case be subject to such Investor Designee’s satisfaction of all requirements regarding service as a director of the Company under applicable Law and stock exchange rules regarding service as a director of the Company and all other criteria and qualifications for service as a director applicable to all directors of the Company. The Investor Parties will cause each Investor Designee to make himself or herself reasonably available for interviews and to consent to such reference and background checks or other investigations as the Board may reasonably request to determine the Investor’s nominee’s eligibility and qualification to serve as a director of the Company. No Investor Designee shall be eligible to serve on the Board if he or she has been involved in any of the events enumerated under</w:t>
      </w:r>
    </w:p>
    <w:p>
      <w:pPr>
        <w:spacing w:after="0" w:line="2" w:lineRule="exact"/>
        <w:rPr>
          <w:rFonts w:ascii="Times New Roman" w:cs="Times New Roman" w:eastAsia="Times New Roman" w:hAnsi="Times New Roman"/>
          <w:sz w:val="17"/>
          <w:szCs w:val="17"/>
          <w:color w:val="auto"/>
        </w:rPr>
      </w:pPr>
    </w:p>
    <w:p>
      <w:pPr>
        <w:ind w:right="36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2(d) or (2) of Schedule 13D under the Exchange Act or Item 401(f) of Regulation S-K under the Securities Act or is subject to any Judgment prohibiting service as a director of any public company. As a condition to any Investor Designee’s election to the Board or nomination for election as a director of the Company at any meeting of the Company’s stockholders, the Investor Parties and the Investor Designee must provide to the Company:</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5" w:name="page86"/>
    <w:bookmarkEnd w:id="85"/>
    <w:p>
      <w:pPr>
        <w:ind w:left="1300" w:firstLine="652"/>
        <w:spacing w:after="0" w:line="261" w:lineRule="auto"/>
        <w:tabs>
          <w:tab w:leader="none" w:pos="265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requested by the Company that is required to be or is customarily disclosed for directors, candidates for directors and their respective Affiliates and Representatives in a proxy statement or other filings in accordance with applicable Law, any stock exchange rules or listing standards or the Company Charter Documents or corporate governance guidelines, in each case, relating to such Investor Designee’s election as a director of the Company or the Company’s operations in the ordinary course of business;</w:t>
      </w:r>
    </w:p>
    <w:p>
      <w:pPr>
        <w:spacing w:after="0" w:line="179" w:lineRule="exact"/>
        <w:rPr>
          <w:rFonts w:ascii="Times New Roman" w:cs="Times New Roman" w:eastAsia="Times New Roman" w:hAnsi="Times New Roman"/>
          <w:sz w:val="18"/>
          <w:szCs w:val="18"/>
          <w:color w:val="auto"/>
        </w:rPr>
      </w:pPr>
    </w:p>
    <w:p>
      <w:pPr>
        <w:ind w:left="1300" w:right="280" w:firstLine="652"/>
        <w:spacing w:after="0" w:line="266" w:lineRule="auto"/>
        <w:tabs>
          <w:tab w:leader="none" w:pos="266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requested by the Company in connection with assessing eligibility and other criteria applicable to directors or satisfying compliance and legal or regulatory obligations, in each case, relating to such Investor Designee’s nomination or election, as applicable, as a director of the Company or the Company’s operations in the ordinary course of business;</w:t>
      </w:r>
    </w:p>
    <w:p>
      <w:pPr>
        <w:spacing w:after="0" w:line="175"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in writing by such Investor Designee:</w:t>
      </w:r>
    </w:p>
    <w:p>
      <w:pPr>
        <w:spacing w:after="0" w:line="225" w:lineRule="exact"/>
        <w:rPr>
          <w:rFonts w:ascii="Times New Roman" w:cs="Times New Roman" w:eastAsia="Times New Roman" w:hAnsi="Times New Roman"/>
          <w:sz w:val="18"/>
          <w:szCs w:val="18"/>
          <w:color w:val="auto"/>
        </w:rPr>
      </w:pPr>
    </w:p>
    <w:p>
      <w:pPr>
        <w:ind w:left="1960" w:firstLine="640"/>
        <w:spacing w:after="0" w:line="258" w:lineRule="auto"/>
        <w:tabs>
          <w:tab w:leader="none" w:pos="33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subject to, bound by and duly comply with the code of conduct in the form agreed upon by the other directors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code of conduct shall restrict any transfer of securities by the Investor Parties or their Affiliates (other than with respect to the Investor Director solely in his or her individual capacity), impose confidentiality obligations on the Investor Director other than those specified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or as mandatorily applicable under applicable Law, or impose any share ownership requirement for the Investor Director; and</w:t>
      </w:r>
    </w:p>
    <w:p>
      <w:pPr>
        <w:spacing w:after="0" w:line="183" w:lineRule="exact"/>
        <w:rPr>
          <w:rFonts w:ascii="Times New Roman" w:cs="Times New Roman" w:eastAsia="Times New Roman" w:hAnsi="Times New Roman"/>
          <w:sz w:val="18"/>
          <w:szCs w:val="18"/>
          <w:color w:val="auto"/>
        </w:rPr>
      </w:pPr>
    </w:p>
    <w:p>
      <w:pPr>
        <w:ind w:left="3380" w:hanging="780"/>
        <w:spacing w:after="0"/>
        <w:tabs>
          <w:tab w:leader="none" w:pos="33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recuse himself or herself from any deliberations or discussion of the Board or any committee thereof</w:t>
      </w:r>
    </w:p>
    <w:p>
      <w:pPr>
        <w:spacing w:after="0" w:line="27" w:lineRule="exact"/>
        <w:rPr>
          <w:sz w:val="20"/>
          <w:szCs w:val="20"/>
          <w:color w:val="auto"/>
        </w:rPr>
      </w:pPr>
    </w:p>
    <w:p>
      <w:pPr>
        <w:ind w:left="2160" w:hanging="208"/>
        <w:spacing w:after="0"/>
        <w:tabs>
          <w:tab w:leader="none" w:pos="21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any Transaction Document, the Transactions or any other transactions with or the Investor or any of its Affiliates.</w:t>
      </w:r>
    </w:p>
    <w:p>
      <w:pPr>
        <w:spacing w:after="0" w:line="206" w:lineRule="exact"/>
        <w:rPr>
          <w:rFonts w:ascii="Times New Roman" w:cs="Times New Roman" w:eastAsia="Times New Roman" w:hAnsi="Times New Roman"/>
          <w:sz w:val="18"/>
          <w:szCs w:val="18"/>
          <w:color w:val="auto"/>
        </w:rPr>
      </w:pPr>
    </w:p>
    <w:p>
      <w:pPr>
        <w:ind w:right="40" w:firstLine="1304"/>
        <w:spacing w:after="0" w:line="253" w:lineRule="auto"/>
        <w:tabs>
          <w:tab w:leader="none" w:pos="20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each Investor Director and provide each Investor Director with director and officer insurance to the same extent as it indemnifies and provides such insurance to other members of the Board, pursuant to the Company Charter Documents, the DGCL or otherwise. The Company acknowledges and agrees that it (1) is the indemnitor of first resort (i.e., its obligations to each Investor Director are primary and any obligation of the Investor Parties or their Affiliates to advance expenses or to provide indemnification for the same expenses or liabilities incurred by any Investor Director are secondary), (2) shall be required to advance the amount of expenses incurred by any Investor Director and shall be liable for the amount of all expenses and liabilities incurred by such Investor Director, in each case to the same extent as it indemnifies and provides such insurance to other members of the Board, pursuant to the Company Charter Documents, the DGCL or otherwise, without regard to any rights such Investor Director may have against any Investor Parties or their Affiliates and (3) to the extent permitted by Law, it irrevocably waives, relinquishes and releases the Investor and its Affiliates from any and all claims against them for contribution, subrogation or any other recovery of any kind in respect thereof. The Company further agrees that no advancement or payment by the Investor any of its Affiliates on behalf of the Company with respect to any claim for which any Investor Director have sought indemnification from the Company shall affect the foregoing and the Investor and its Affiliates shall have a right of contribution and/or be subrogated to the extent of such advancement or payment to all of the rights of recovery of any Investor Director against the Company. These rights shall be a contract right.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right="100" w:firstLine="1304"/>
        <w:spacing w:after="0" w:line="282" w:lineRule="auto"/>
        <w:tabs>
          <w:tab w:leader="none" w:pos="20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Second Investor Board Seat Fall-Away, the Company shall not decrease the size of the Board without the consent of the Investor if such decrease would require the resignation of any Investor Designee.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Investor Director who is an employee of the Investor or any of its Affiliates shall be entitled to any compensation from the Company for his or her position on the Board (other than reimbursement of expenses pursuant to the Company’s reimbursement policies for non-executive directors).</w:t>
      </w:r>
    </w:p>
    <w:p>
      <w:pPr>
        <w:spacing w:after="0" w:line="175" w:lineRule="exact"/>
        <w:rPr>
          <w:rFonts w:ascii="Times New Roman" w:cs="Times New Roman" w:eastAsia="Times New Roman" w:hAnsi="Times New Roman"/>
          <w:sz w:val="18"/>
          <w:szCs w:val="18"/>
          <w:color w:val="auto"/>
        </w:rPr>
      </w:pPr>
    </w:p>
    <w:p>
      <w:pPr>
        <w:ind w:right="60" w:firstLine="1304"/>
        <w:spacing w:after="0" w:line="282" w:lineRule="auto"/>
        <w:tabs>
          <w:tab w:leader="none" w:pos="20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Directors shall be permitted to share information received in his or her capacity as such with the Investor Parties so long as the Investor remain subject to the confidentiality provisions of this Agreement as provided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 w:firstLine="1304"/>
        <w:spacing w:after="0" w:line="256" w:lineRule="auto"/>
        <w:tabs>
          <w:tab w:leader="none" w:pos="20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Parties and the Company hereby agree, notwithstanding anything to the contrary in any other agreement or at Law or in equity, that, to the maximum extent permitted by Law, when the Investor Parties take any action under this Agreement to give or withhold their consent, the Investor Parties shall have no duty (fiduciary or other) to consider the interests of the Company or the other stockholders of the Company and may act exclusively in their own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in no way affect the obligations of the parties hereto to comply with the provisions of this Agreement. For the avoidance of doubt, the foregoing sentence shall not limit or otherwise affect the fiduciary duties of the Investor Directors.</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Investor agrees that until the date that is the later of (i) December 31, 2024 and (ii) 90 days after the first day on which no Investor Designee serves on the Board and the Investor has no rights (or has irrevocably waived its right)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5.09(f)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304"/>
        <w:spacing w:after="0" w:line="254" w:lineRule="auto"/>
        <w:tabs>
          <w:tab w:leader="none" w:pos="20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each meeting of the stockholders of the Company and at every postponement or adjournment thereof, the Investor shall, and shall cause the Investor Parties to, take such action as may be required so that all of the shares of Series A Preferred Stock or Common Stock beneficially owned, directly or indirectly, by the Investor Parties and entitled to vote are voted in favor of (i) each director nominated and recommended by the Board (or a duly authorized committee thereof) for election at any such meeting, (ii) against any stockholder nominations for directors that are not approved and recommended by the Board (or a duly authorized committee thereof) for election at any such meeting, (iii) against any proposals or resolutions to remove any member of the Board and (iv) in accordance with recommendations by the Board on all other proposals or business that may be the subject of stockholder action at such meetings or written consents;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and its Affiliates shall be permitted to vote in their sole discretion on any proposal directly related to any merger or other business combination transaction involving the Company, the sale of all or substantially all of the assets of the Company and its Subsidiaries or any other change of control transaction involving the Company; and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7" w:name="page88"/>
    <w:bookmarkEnd w:id="87"/>
    <w:p>
      <w:pPr>
        <w:ind w:right="100" w:firstLine="1304"/>
        <w:spacing w:after="0" w:line="261" w:lineRule="auto"/>
        <w:tabs>
          <w:tab w:leader="none" w:pos="204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shall, and shall (to the extent necessary to comply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cause the Investor Parties to, be present, in person or by proxy, at all meetings of the stockholders of the Company so that all shares of Series A Preferred Stock or Common Stock beneficially owned by the Investor or the Investor Parties may be counted for the purposes of determining the presence of a quorum and voted in accordance with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 xml:space="preserve"> at such meetings (including at any adjournments or postponements thereof).</w:t>
      </w:r>
    </w:p>
    <w:p>
      <w:pPr>
        <w:spacing w:after="0" w:line="180"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304"/>
        <w:spacing w:after="0" w:line="253" w:lineRule="auto"/>
        <w:tabs>
          <w:tab w:leader="none" w:pos="203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applicable withholding agent shall be entitled to deduct and withhold from any amounts otherwise payable with respect to the Series A Preferred Stock or Common Stock or other securities issued upon conversion of the Series A Preferred Stock to the extent required by applicable Law. If the Company or any applicable withholding agent determines that any deduction or withholding is required in respect of a payment pursuant to this Agreement and the transactions contemplated herein, the Company shall use its commercially reasonable efforts to provide notice to the Investor Parties at least five (5) Business Days prior to the date on which such payment is to be made, with a written explanation substantiating the requirement to withhold, and shall cooperate with the Investor Parties to reduce or eliminate such deduction or withholding to the extent allowed by applicable Law. Any amounts that are so withheld shall be timely paid over to the appropriate Tax authority and shall be treated for all purposes of the applicable Transaction Documents and Company Charter Documents as having been paid to the Person in respect of which such deduction and withholding was made. Promptly following the date of this Agreement or, in the case of a transferee, the date such transferee first acquires any Series A Preferred Stock or Common Stock issued upon conversion of the Series A Preferred Stock, each Investor Party shall deliver to the Company or its paying agent a duly executed, accurate and properly completed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or an appropriate IRS Form W-8, as applicable. If the information on any such form provided by such Investor Party changes, or upon the Company’s reasonable request, such Investor Party shall provide the Company with an updated version of such form.</w:t>
      </w:r>
    </w:p>
    <w:p>
      <w:pPr>
        <w:spacing w:after="0" w:line="187" w:lineRule="exact"/>
        <w:rPr>
          <w:rFonts w:ascii="Times New Roman" w:cs="Times New Roman" w:eastAsia="Times New Roman" w:hAnsi="Times New Roman"/>
          <w:sz w:val="18"/>
          <w:szCs w:val="18"/>
          <w:color w:val="auto"/>
        </w:rPr>
      </w:pPr>
    </w:p>
    <w:p>
      <w:pPr>
        <w:ind w:right="140" w:firstLine="1304"/>
        <w:spacing w:after="0" w:line="272" w:lineRule="auto"/>
        <w:tabs>
          <w:tab w:leader="none" w:pos="204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Absent a change in law or a contrary “determination” (as defined in Section 1313(a) of the Code), the Investor Parties and the Company agree (i) not to treat the Series A Preferred Stock as “preferred stock” within the meaning of Section 305 of the Code and Treasury Regulation Section 1.305-5 for United States federal income Tax and withholding Tax purposes, and shall not take a position inconsistent with such treatment and</w:t>
      </w:r>
    </w:p>
    <w:p>
      <w:pPr>
        <w:spacing w:after="0" w:line="1" w:lineRule="exact"/>
        <w:rPr>
          <w:rFonts w:ascii="Times New Roman" w:cs="Times New Roman" w:eastAsia="Times New Roman" w:hAnsi="Times New Roman"/>
          <w:sz w:val="17"/>
          <w:szCs w:val="17"/>
          <w:color w:val="auto"/>
        </w:rPr>
      </w:pPr>
    </w:p>
    <w:p>
      <w:pPr>
        <w:ind w:right="320" w:firstLine="8"/>
        <w:spacing w:after="0" w:line="255" w:lineRule="auto"/>
        <w:tabs>
          <w:tab w:leader="none" w:pos="2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take a reporting position that the holders of Series A Preferred Stock are required to include as dividend income any amounts in respect of the Series A Preferred Stock unless and until dividends on the Series A Preferred Stock are paid in cash or other property, in each case, for United States federal income Tax and withholding Tax purposes.</w:t>
      </w:r>
    </w:p>
    <w:p>
      <w:pPr>
        <w:spacing w:after="0" w:line="185" w:lineRule="exact"/>
        <w:rPr>
          <w:rFonts w:ascii="Times New Roman" w:cs="Times New Roman" w:eastAsia="Times New Roman" w:hAnsi="Times New Roman"/>
          <w:sz w:val="18"/>
          <w:szCs w:val="18"/>
          <w:color w:val="auto"/>
        </w:rPr>
      </w:pPr>
    </w:p>
    <w:p>
      <w:pPr>
        <w:ind w:firstLine="1304"/>
        <w:spacing w:after="0" w:line="256" w:lineRule="auto"/>
        <w:tabs>
          <w:tab w:leader="none" w:pos="203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any and all United States documentary, stamp and similar issue or transfer Tax due on (x) the issue of the Series A Preferred Stock and (y) the issue of shares of Common Stock upon conversion of the Series A Preferred Stock. However, in the case of conversion of Series A Preferred Stock, the Company shall not be required to pay any Tax or duty that may be payable in respect of any transfer involved in the issue and delivery of shares of Common Stock or Series A Preferred Stock in a name other than that of the holder of the shares to be converted,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proceeds from the issuance and sale of the Series A Preferred Stock hereunder solely as follows: (i) prior to the time that the EV Program Agreement has been executed and delivered by the prospective parties thereto, to fund expenditures in respect of pre-development activities and related overhead and support in connection with the Company carrying out the services described in the draft Product Development and Engineering Services Agreement delivered to the Investor prior to the date of this Agreement, but only to the extent such expenditures are not directly paid by the counterparty in accordance the terms thereof and (ii) following execution and delivery of the EV Program Agreement by the prospective parties thereto, to fund the design, development and production of the covered program in accordance with the terms and conditions set forth in the EV Program Agreement. Until the Product Development and Engineering Services Agreement has been entered into or if the EV Program is abandoned, the Company may use the proceeds from the issuance and sale of the Series A Preferred Stock hereunder to fund expenditures contemplated to be expended in connection with the EV Program (including those contemplated by the draft Product Development and Engineering Services Agreement delivered to the Investor prior to the date of this Agreement) or any substitute or replacement electric vehicle program as agreed to by the Investor and the Company. The Company shall use the proceeds from the issuance and sale of the Common Stock hereunder for general corporate purposes as determined by the Board (which Board determination for the proceeds from the Subsequent Common Closing shall be made following the appointment of the Investor Designees to the Board).</w:t>
      </w:r>
    </w:p>
    <w:p>
      <w:pPr>
        <w:spacing w:after="0" w:line="18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5.13</w:t>
      </w:r>
      <w:r>
        <w:rPr>
          <w:sz w:val="20"/>
          <w:szCs w:val="20"/>
          <w:color w:val="auto"/>
        </w:rPr>
        <w:tab/>
      </w:r>
      <w:r>
        <w:rPr>
          <w:rFonts w:ascii="Times New Roman" w:cs="Times New Roman" w:eastAsia="Times New Roman" w:hAnsi="Times New Roman"/>
          <w:sz w:val="17"/>
          <w:szCs w:val="17"/>
          <w:u w:val="single" w:color="auto"/>
          <w:color w:val="auto"/>
        </w:rPr>
        <w:t>Participation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3" w:lineRule="auto"/>
        <w:tabs>
          <w:tab w:leader="none" w:pos="203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shall mean (i) the issuance of any shares of equity securities that is subject to Section 10 (Anti-Dilution Adjustments) of the Certificate of Designations, (ii) the issuance of shares of any equity securities (including upon exercise of options) to directors, officers, employees, consultants or other agents of the Company as approved by the Board, (iii) the issuance of shares of any equity securities pursuant to an employee stock option plan, management incentive plan, restricted stock plan, stock purchase plan or stock, ownership plan or similar benefit plan, program or agreement, (iv) the issuance of shares of equity securities as consideration in any “business combination” (as defined in the rules and regulations promulgated by the SEC) or as consideration in bona fide acquisitions of securities or substantially all of the assets of another Person, business unit, division or business, (v) securities issued pursuant to the conversion, exercise or exchange of Series A Preferred Stock issued to the Investor, (vi) shares of a Subsidiary of the Company issued to the Company or a wholly owned Subsidiary of the Company, (vii) securities of a joint venture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Affiliate (other than any Subsidiary of the Company) of the Company acquires any interest in such securities in connection with such issuance) or (viii) the issuance of bonds, debentures, notes or similar debt securities convertible into Common Stock into the public market pursuant to a bona-fide broadly distributed public offering or a private placement under Rule 144A, if the conversion or exercise price is at least the greater of (x) the then applicable Conversion Price (as defined in the Certificate of Designations) and (y) the Current Market Price (as defined in the Certificate of Designations) as of the date the Company would have been required to give the Investor notice of such issuance if it were not an Excluded Issuance.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9" w:name="page90"/>
    <w:bookmarkEnd w:id="89"/>
    <w:p>
      <w:pPr>
        <w:jc w:val="both"/>
        <w:ind w:firstLine="1304"/>
        <w:spacing w:after="0" w:line="261" w:lineRule="auto"/>
        <w:tabs>
          <w:tab w:leader="none" w:pos="204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Subsequent Common Closing Date and until the occurrence of the Second Investor Board Seat Fall-Away, if the Company proposes to issue equity securities of any kind (the term “equity securities” shall include for these purposes Common Stock and any warrants, options or other rights to acquire, or any securities that are exercisable for, exchangeable for or convertible into, Common Stock or any other class of capital stock of the Company), other than in an Excluded Issuance, then the Company shall:</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68" w:lineRule="auto"/>
        <w:tabs>
          <w:tab w:leader="none" w:pos="2658"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written notice to the Investor (no less than five (5) Business Days prior to the closing of such issuance (or, in the case of a registered public offering, at least two (2) Business Days prior to the commencement of such registered public offering) or, if the Company reasonably expects such issuance to be completed in less than five (5) Business Days, such shorter period, which shall be as long as commercially practicable setting forth in reasonable detail (A) the designation and all of the terms and provisions of the securities proposed to be issued (the “</w:t>
      </w:r>
      <w:r>
        <w:rPr>
          <w:rFonts w:ascii="Times New Roman" w:cs="Times New Roman" w:eastAsia="Times New Roman" w:hAnsi="Times New Roman"/>
          <w:sz w:val="17"/>
          <w:szCs w:val="17"/>
          <w:u w:val="single" w:color="auto"/>
          <w:color w:val="auto"/>
        </w:rPr>
        <w:t>Proposed Securities</w:t>
      </w:r>
      <w:r>
        <w:rPr>
          <w:rFonts w:ascii="Times New Roman" w:cs="Times New Roman" w:eastAsia="Times New Roman" w:hAnsi="Times New Roman"/>
          <w:sz w:val="17"/>
          <w:szCs w:val="17"/>
          <w:color w:val="auto"/>
        </w:rPr>
        <w:t>”), including, to the extent applicable, the voting powers, preferences and relative participating, optional or other special rights, and the qualification, limitations or restrictions thereof and interest rate and maturity;</w:t>
      </w:r>
    </w:p>
    <w:p>
      <w:pPr>
        <w:spacing w:after="0" w:line="4"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price and other terms of the proposed sale of such securities; and (C) the amount of such securities proposed to be issued; and</w:t>
      </w:r>
    </w:p>
    <w:p>
      <w:pPr>
        <w:spacing w:after="0" w:line="206" w:lineRule="exact"/>
        <w:rPr>
          <w:rFonts w:ascii="Times New Roman" w:cs="Times New Roman" w:eastAsia="Times New Roman" w:hAnsi="Times New Roman"/>
          <w:sz w:val="17"/>
          <w:szCs w:val="17"/>
          <w:color w:val="auto"/>
        </w:rPr>
      </w:pPr>
    </w:p>
    <w:p>
      <w:pPr>
        <w:ind w:left="1300" w:right="180" w:firstLine="652"/>
        <w:spacing w:after="0" w:line="255" w:lineRule="auto"/>
        <w:tabs>
          <w:tab w:leader="none" w:pos="266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to issue and sell to the Investor Parties, on such terms as the Proposed Securities are issued and upon full payment by the Investor Parties, a portion of the Proposed Securities equal to a percentage determined by dividing (A) the number of shares of Common Stock the Investor Parties beneficially own (on an as-converted basis) by (B) the total number of shares of Common Stock then outstanding (on an as-converted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offer to issue or sell to the Investor Parties (or to any of them) a number of the Proposed Securities that would require the Company to obtain stockholder approval either in respect of the issuance of any Proposed Securities or in connection with any securities issued pursuant to this Agreement under the listing rules of the Nasdaq or any other securities exchange or any other applicable Law.</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55" w:lineRule="auto"/>
        <w:tabs>
          <w:tab w:leader="none" w:pos="203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will have the option, on behalf of the applicable Investor Parties, exercisable by written notice to the Company, to accept the Company’s offer and irrevocably commit to purchase any or all of the equity securities offered to be sold by the Company to the Investor Parties, which notice must be given within five (5) days after receipt of such notice from the Company (or such shorter period if the notice by the Company was sent in accordance with the preceding paragraph less than five (5) Business Days prior to the proposed issuance date, and in no event less than one</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(the failure of the Investor to respond within such time period shall be deemed a waiver of the Investor Parties’ rights under this</w:t>
      </w:r>
    </w:p>
    <w:p>
      <w:pPr>
        <w:spacing w:after="0" w:line="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with respect to the applicable issuance of equity securities). If the Company offers two (2) or more securities in units to the other participants in the offering, the Investor Parties must purchase such units as a whole and will not be given the opportunity to purchase only one (1) of the securities making up such unit. The closing of the exercise of such subscription right shall take place simultaneously with the closing of the sale of the Proposed Securities giving rise to such subscription right;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if such closing is prior to the tenth (10th) Business Day following the date on which the Investor has notified the Company that the Investor Parties have elected to exercise their subscription right, then each Investor Party shall purchase the new equity securities within ten (10) Business Days following delivery of notice of exercise by the Investor and (y) the closing of any purchase by any such Investor Party may be extended beyond the closing of the sale of the Proposed Securities giving rise to such preemptive right to the extent necessary to obtain required approvals from any Governmental Authority. Upon the expiration of the offering period described above, the Company will be free to sell such Proposed Securities that the Investor Parties have not elected to purchase during the ninety (90) days following such expiration on terms and conditions no more favorable to the purchasers thereof than those offered to the Investor Parties in the notice delivered in accordance with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Any Proposed Securities offered or sold by the Company after such ninety (90)-day period must be reoffered to issue or sell to the Investor Parties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reoffer to the Investor Parties (or to any of them) a number of the Proposed Securities that would require the Company to obtain stockholder approval in respect of the issuance of any Proposed Securities under the listing rules of the Nasdaq or any other securities exchange or any applicable Law.</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right="180" w:firstLine="1304"/>
        <w:spacing w:after="0" w:line="282" w:lineRule="auto"/>
        <w:tabs>
          <w:tab w:leader="none" w:pos="2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election by any Investor Party not to exercise its subscription rights under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in any one instance shall not affect their right as to any subsequent proposed issuance.</w:t>
      </w:r>
    </w:p>
    <w:p>
      <w:pPr>
        <w:spacing w:after="0" w:line="161" w:lineRule="exact"/>
        <w:rPr>
          <w:rFonts w:ascii="Times New Roman" w:cs="Times New Roman" w:eastAsia="Times New Roman" w:hAnsi="Times New Roman"/>
          <w:sz w:val="18"/>
          <w:szCs w:val="18"/>
          <w:color w:val="auto"/>
        </w:rPr>
      </w:pPr>
    </w:p>
    <w:p>
      <w:pPr>
        <w:ind w:right="40" w:firstLine="1304"/>
        <w:spacing w:after="0" w:line="256" w:lineRule="auto"/>
        <w:tabs>
          <w:tab w:leader="none" w:pos="20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to the contrary, the Company will not be deemed to have breached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if not later than thirty (30) Business Days following the issuance of any Proposed Securities in contravention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the Company or the transferee of such Proposed Securities offers to sell a portion of such equity securities or additional equity securities of the type(s) in question to each Investor Party so that, taking into account such previously-issued Proposed Securities and any such additional Proposed Securities, each Investor Party will have had the right to purchase or subscribe for Proposed Securities in a manner consistent with the allocation and other terms and upon same economic and other terms provided for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1304"/>
        <w:spacing w:after="0" w:line="266" w:lineRule="auto"/>
        <w:tabs>
          <w:tab w:leader="none" w:pos="20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issuance subject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for consideration in whole or in part other than cash, including securities acquired in exchange therefor (other than securities by their terms so exchangeable), the consideration other than cash shall be deemed to be the fair value thereof as determined in good faith by the Board.</w:t>
      </w:r>
    </w:p>
    <w:p>
      <w:pPr>
        <w:spacing w:after="0" w:line="175" w:lineRule="exact"/>
        <w:rPr>
          <w:rFonts w:ascii="Times New Roman" w:cs="Times New Roman" w:eastAsia="Times New Roman" w:hAnsi="Times New Roman"/>
          <w:sz w:val="18"/>
          <w:szCs w:val="18"/>
          <w:color w:val="auto"/>
        </w:rPr>
      </w:pPr>
    </w:p>
    <w:p>
      <w:pPr>
        <w:ind w:right="20" w:firstLine="1304"/>
        <w:spacing w:after="0" w:line="254" w:lineRule="auto"/>
        <w:tabs>
          <w:tab w:leader="none" w:pos="204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Proposed Securities are issued by the Company following the date of this Agreement but prior to the Subsequent Common Closing Date (the “</w:t>
      </w:r>
      <w:r>
        <w:rPr>
          <w:rFonts w:ascii="Times New Roman" w:cs="Times New Roman" w:eastAsia="Times New Roman" w:hAnsi="Times New Roman"/>
          <w:sz w:val="18"/>
          <w:szCs w:val="18"/>
          <w:u w:val="single" w:color="auto"/>
          <w:color w:val="auto"/>
        </w:rPr>
        <w:t>Prior Issuance</w:t>
      </w:r>
      <w:r>
        <w:rPr>
          <w:rFonts w:ascii="Times New Roman" w:cs="Times New Roman" w:eastAsia="Times New Roman" w:hAnsi="Times New Roman"/>
          <w:sz w:val="18"/>
          <w:szCs w:val="18"/>
          <w:color w:val="auto"/>
        </w:rPr>
        <w:t>”), within thirty (30) Business Days after the Subsequent Common Closing Date, the Company shall offer to sell such Proposed Securities to each Investor Party so that, taking into account the Proposed Securities in the Prior Issuance and such Proposed Securities, each Investor Party will have had the right to purchase or subscribe for Proposed Securities in a manner consistent with the allocation and other terms (including the limitations therein) and upon same economic and other terms (including the limitations therein) provided for in</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5.13(c)</w:t>
      </w:r>
      <w:r>
        <w:rPr>
          <w:rFonts w:ascii="Times New Roman" w:cs="Times New Roman" w:eastAsia="Times New Roman" w:hAnsi="Times New Roman"/>
          <w:sz w:val="18"/>
          <w:szCs w:val="18"/>
          <w:color w:val="auto"/>
        </w:rPr>
        <w:t xml:space="preserve"> as if the Prior Issuance occurred on or after the Subsequent Common Closing Date.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1" w:name="page92"/>
    <w:bookmarkEnd w:id="91"/>
    <w:p>
      <w:pPr>
        <w:ind w:right="20" w:firstLine="1304"/>
        <w:spacing w:after="0" w:line="253" w:lineRule="auto"/>
        <w:tabs>
          <w:tab w:leader="none" w:pos="20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Investor Parties are not entitled to acquire any Proposed Securities pursuant to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because such issuance would require the Company to obtain stockholder approval in respect of the issuance of such Proposed Securities under the listing rules of the Nasdaq or any other securities exchange or applicable Law, the Company shall, upon the Investor’s reasonable request delivered to the Company in writing within seven (7) Business Days following its receipt of the written notice of such issuance to the Investor pursuant to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at the Investor’s election, (i) consider and discuss in good faith modifications proposed by the Investor Parties to the terms and conditions of such portion of the Proposed Securities that would otherwise be issued to the Investor Parties such that the Company would not be required to obtain stockholder approval in respect of the issuance of such Proposed Securities as so modified, and/or (ii) solely to the extent that stockholder approval is required in connection with the issuance of Proposed Securities to Persons other than the Investor Parties and the Company elects to seek such stockholder approval in connection with such issuance to Persons other than the Investor Parties, use reasonable best efforts to seek stockholder approval in respect of the issuance of any Proposed Securities to the Investor Parties.</w:t>
      </w:r>
    </w:p>
    <w:p>
      <w:pPr>
        <w:spacing w:after="0" w:line="194"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Rights</w:t>
      </w:r>
      <w:r>
        <w:rPr>
          <w:rFonts w:ascii="Times New Roman" w:cs="Times New Roman" w:eastAsia="Times New Roman" w:hAnsi="Times New Roman"/>
          <w:sz w:val="18"/>
          <w:szCs w:val="18"/>
          <w:color w:val="auto"/>
        </w:rPr>
        <w:t xml:space="preserve">. If between the date of this Agreement and the Subsequent Common Closing the Company issues shares of Common Stock (including any warrants, options or other rights to acquire, or any securities that are exercisable for, exchangeable for or convertible into, Common Stock), other than in an Excluded Issuance, then the Company shall, as promptly as practicable after the Subsequent Common Closing, provide the Investor the participation rights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if such issuance occurred after the Subsequent Common Closing Date.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Available Registration Statement</w:t>
      </w:r>
      <w:r>
        <w:rPr>
          <w:rFonts w:ascii="Times New Roman" w:cs="Times New Roman" w:eastAsia="Times New Roman" w:hAnsi="Times New Roman"/>
          <w:sz w:val="18"/>
          <w:szCs w:val="18"/>
          <w:color w:val="auto"/>
        </w:rPr>
        <w:t>. The Company will not effect a Mandatory Conversion (as defined in the Certificate of Designations) if any Investor Party holds or would hold upon such Mandatory Conversion (or any earlier conversion following the dates of the Notice of Mandatory Conversion (as defined in the Certificate of Designations)) shares of Common Stock that are Registrable Securities unless as of the date of Notice of Mandatory Conversion and as of the Mandatory Conversion Date (as defined in the Certificate of Designations) there is either an Available Registration Statement covering resale of such shares of Common Stock by the Investor Parties or such shares may be freely sold immediately upon receipt without volume or manner of sale restrictions pursuant to Rule 144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xml:space="preserve">. If the Company becomes a party to a consolidation, merger or other similar transaction, or if the Company proposes to take or omit to take any other action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(including granting to the Investor Parties or their respective Affiliates the right to participate in any issuance of securities) or otherwise or if there is any event or circumstance that may result in the Investor Parties, their respective Affiliates and/or any Investor Director being deemed to have made a disposition or acquisition of equity securities of the Company or derivatives thereof for purposes of Section 16 of the Exchange Act (including the purchase by the Investor Parties of any securities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and if any Investor Director is serving on the Board at such time or has served on the Board during the preceding six (6) months (i) the Board or a committee thereof composed solely of two or more “non-employee directors” as defined in Rule 16b-3 of the Exchange Act will pre-approve such acquisition or disposition of equity securities of the Company or derivatives thereof for the express purpose of exempting the Investor Parties’, their respective Affiliates’ and such Investor Director’s interests (for the Investor and/or their respective Affiliates, to the extent such persons may be deemed to be “directors by deputization”) in such transaction from Section 16(b) of the Exchange Act pursuant to Rule 16b-3 thereunder and (ii) if the transaction involves (A) a merger or consolidation to which the Company is a party and the Common Stock is, in whole or in part, converted into or exchanged for equity securities of a different issuer, (B) a potential acquisition or deemed acquisition, or disposition or deemed disposition, by the Investor Parties, the Investor’s Affiliates, and/or any Investor Director of equity securities of such other issuer or derivatives thereof and (C) an Affiliate or other designee of the Investor Parties or their Affiliates will serve on the board of directors (or its equivalent) of such other issuer pursuant to the terms of an agreement to which the Company is a party (or if the Investor Parties notify the Company of such service a reasonable time in advance of the closing of such transactions), then if the Company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require that such other issuer pre-approve any such acquisitions of equity securities or derivatives thereof for the express purpose of exempting the interests of the Investor Parties’, their respective Affiliates’ and any Investor Director (for the Investor Parties and/or their respective Affiliates, to the extent such persons may be deemed to be “directors by deputization” of such other issuer) in such transactions from Section 16(b) of the Exchange Act pursuant to Rule 16b-3 thereunder.</w:t>
      </w:r>
    </w:p>
    <w:p>
      <w:pPr>
        <w:spacing w:after="0" w:line="18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Information Rights</w:t>
      </w:r>
      <w:r>
        <w:rPr>
          <w:rFonts w:ascii="Times New Roman" w:cs="Times New Roman" w:eastAsia="Times New Roman" w:hAnsi="Times New Roman"/>
          <w:sz w:val="18"/>
          <w:szCs w:val="18"/>
          <w:color w:val="auto"/>
        </w:rPr>
        <w:t>. Following the Initial Closing and so long as the 25% Beneficial Ownership Requirement is satisfied, in order to facilitate (i) the Investor Parties’ compliance with legal and regulatory requirements applicable to the beneficial ownership by the Investor Parties and its Affiliates of equity securities of the Company and (ii) the Investor Representative’s oversight of the Investor Parties’ investment in the Company, the Company agrees to provide each of the Investor Parties with the following:</w:t>
      </w:r>
    </w:p>
    <w:p>
      <w:pPr>
        <w:spacing w:after="0" w:line="180" w:lineRule="exact"/>
        <w:rPr>
          <w:sz w:val="20"/>
          <w:szCs w:val="20"/>
          <w:color w:val="auto"/>
        </w:rPr>
      </w:pPr>
    </w:p>
    <w:p>
      <w:pPr>
        <w:ind w:right="20" w:firstLine="1304"/>
        <w:spacing w:after="0" w:line="258" w:lineRule="auto"/>
        <w:tabs>
          <w:tab w:leader="none" w:pos="20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end of each fiscal year of the Company, (A) an audited, consolidated balance sheet of the Company and its Subsidiaries as of the end of such fiscal year, (B) an audited, consolidated income statement of the Company and its Subsidiaries for such fiscal year and (C) an audited, consolidated statement of cash flows of the Company and its Subsidiaries for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requirement shall be deemed to have been satisfied if and when the Company files its annual report on Form 10-K for the applicable fiscal year with the SEC within the required time period therefor;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right="80" w:firstLine="1304"/>
        <w:spacing w:after="0" w:line="258" w:lineRule="auto"/>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45 days after the end of each of the first three quarters of each fiscal year of the Company, (A) an unaudited, consolidated balance sheet of the Company and its Subsidiaries as of the end of such fiscal quarter, (B) an unaudited, consolidated income statement of the Company and its Subsidiaries for such fiscal quarter and (C) an unaudited, consolidated statement of cash flows of the Company and its Subsidiaries for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requirement shall be deemed to have been satisfied if and when the Company files its quarterly report on Form 10-Q for the applicable fiscal quarter with the SEC within the required time period therefor; and</w:t>
      </w:r>
    </w:p>
    <w:p>
      <w:pPr>
        <w:spacing w:after="0" w:line="183" w:lineRule="exact"/>
        <w:rPr>
          <w:rFonts w:ascii="Times New Roman" w:cs="Times New Roman" w:eastAsia="Times New Roman" w:hAnsi="Times New Roman"/>
          <w:sz w:val="18"/>
          <w:szCs w:val="18"/>
          <w:color w:val="auto"/>
        </w:rPr>
      </w:pPr>
    </w:p>
    <w:p>
      <w:pPr>
        <w:ind w:right="160" w:firstLine="1304"/>
        <w:spacing w:after="0" w:line="258" w:lineRule="auto"/>
        <w:tabs>
          <w:tab w:leader="none" w:pos="20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reasonable access, to the extent reasonably requested by the Investor Parties, to the offices and the properties of the Company and its Subsidiaries, including its and their books and records, and to discuss its and their affairs and finances and matters relating to capital structure and financing, all upon reasonable notice and at such reasonable times and as often as the Investor Parties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shall be conducted at the sole cost and expense of the Investor Parties and in a manner as not to interfere unreasonably with the conduct of the business of the Company and its Subsidiaries;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obligated to provide such access or materials if the Company determines, in its reasonable judgment, that doing so would reasonably be expected to (i) result in the disclosure of trade secrets or competitively sensitive information to third parties, (ii) violate applicable Law, an applicable Judgment or a Contract or obligation of confidentiality owing to a third party, (iii) jeopardize the protection of an attorney-client privilege, attorney work product protection or other legal privilege (provided, however, that the Company shall use reasonable efforts to provide alternative, redacted or substitute documents or information in a manner that would not result in the loss of the ability to assert attorney-client privilege, attorney work product protection or other legal privileges), or (iv) expose the Company to risk of liability for disclosure of personal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shall use their commercially reasonable efforts to disclose such information in a manner that would not violate the foregoing. In addition, notwithstanding anything to the contrary contained herein, neither the Company nor any of its Subsidiaries will be required to provide any information or material that relates to, contains or reflects any analyses, studies, notes, memoranda and other information related to or prepared in connection with any Transaction Document or the Transactions or any matters relating thereto or any transactions with or matters relating to the Investor Parties or any Affiliates of the Investor.</w:t>
      </w:r>
    </w:p>
    <w:p>
      <w:pPr>
        <w:spacing w:after="0" w:line="19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5.18</w:t>
      </w:r>
      <w:r>
        <w:rPr>
          <w:sz w:val="20"/>
          <w:szCs w:val="20"/>
          <w:color w:val="auto"/>
        </w:rPr>
        <w:tab/>
      </w:r>
      <w:r>
        <w:rPr>
          <w:rFonts w:ascii="Times New Roman" w:cs="Times New Roman" w:eastAsia="Times New Roman" w:hAnsi="Times New Roman"/>
          <w:sz w:val="17"/>
          <w:szCs w:val="17"/>
          <w:u w:val="single" w:color="auto"/>
          <w:color w:val="auto"/>
        </w:rPr>
        <w:t>Exclusivity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1304"/>
        <w:spacing w:after="0" w:line="268" w:lineRule="auto"/>
        <w:tabs>
          <w:tab w:leader="none" w:pos="2035"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Subsequent Common Closing (or such earlier date as the Investor’s obligations to effect the Subsequent Common Purchase is terminated pursuant to </w:t>
      </w:r>
      <w:r>
        <w:rPr>
          <w:rFonts w:ascii="Times New Roman" w:cs="Times New Roman" w:eastAsia="Times New Roman" w:hAnsi="Times New Roman"/>
          <w:sz w:val="17"/>
          <w:szCs w:val="17"/>
          <w:u w:val="single" w:color="auto"/>
          <w:color w:val="auto"/>
        </w:rPr>
        <w:t>Section 2.03(c)</w:t>
      </w:r>
      <w:r>
        <w:rPr>
          <w:rFonts w:ascii="Times New Roman" w:cs="Times New Roman" w:eastAsia="Times New Roman" w:hAnsi="Times New Roman"/>
          <w:sz w:val="17"/>
          <w:szCs w:val="17"/>
          <w:color w:val="auto"/>
        </w:rPr>
        <w:t>), without the Investor’s prior written consent, neither the Company nor any of its Subsidiaries shall, directly or indirectly, take (and the Company shall not authorize or permit any directors, officers or employees of the Company or, to the extent within the Company’s control, other Affiliates or representatives of the Company or any of its Subsidiaries to take) any action to (i) encourage (including by way of furnishing non-public information), solicit, initiate or facilitate any Acquisition Proposal, (ii) enter into any agreement with respect to any Acquisition Proposal or enter into any agreement, arrangement or understanding requiring it to abandon, terminate or fail to consummate any of the Transactions or</w:t>
      </w:r>
    </w:p>
    <w:p>
      <w:pPr>
        <w:spacing w:after="0" w:line="4" w:lineRule="exact"/>
        <w:rPr>
          <w:rFonts w:ascii="Times New Roman" w:cs="Times New Roman" w:eastAsia="Times New Roman" w:hAnsi="Times New Roman"/>
          <w:sz w:val="17"/>
          <w:szCs w:val="17"/>
          <w:color w:val="auto"/>
        </w:rPr>
      </w:pPr>
    </w:p>
    <w:p>
      <w:pPr>
        <w:ind w:right="40" w:firstLine="8"/>
        <w:spacing w:after="0" w:line="251" w:lineRule="auto"/>
        <w:tabs>
          <w:tab w:leader="none" w:pos="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way in discussions or negotiations with, or furnish any information to, any Person in connection with, or take any other action to facilitate any inquiries or the making of any proposal that constitutes, or would reasonably be expected to lead to, any Acquisition Proposal. Prior to the Initial Closing, the Company shall use reasonable best efforts to take all actions reasonably necessary to ensure that the directors, officers and employees of the Company or any of its Subsidiaries and, to the extent within the Company’s control, other Affiliates or representatives of the Company or any of its Subsidiaries, do not take or do any of the actions referenced in the immediately foregoing sentence. Upon execution of this Agreement and prior to the Subsequent Common Closing, unless the Investor otherwise consents in writing, the Company shall, if applicable, cease immediately and cause to be terminated any and all existing discussions or negotiations with any parties conducted heretofore with respect to an Acquisition Proposal and promptly request that all confidential information with respect thereto furnished on behalf of the Company be returned.</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firstLine="1304"/>
        <w:spacing w:after="0" w:line="254" w:lineRule="auto"/>
        <w:tabs>
          <w:tab w:leader="none" w:pos="20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Subsequent Common Closing (or such earlier date as the Investor’s obligations to effect the Subsequent Common Purchase is terminated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the Company shall, as promptly as practicable (and in no event later than one business day after receipt thereof), advise the Investor of any Acquisition Proposal, potential Acquisition Proposal, or any inquiry received by it relating to any potential Acquisition Proposal and of the material terms of any proposal or inquiry, including, but not limited to, the identity of the Person and its Affiliates making the same, the consideration that it may receive in respect of any such Acquisition Proposal, potential Acquisition Proposal, or inquiry, or of any information requested from it or of any negotiations or discussions being sought to be initiated with it, shall furnish to the Investor a copy of any such proposal or inquiry, if it is in writing, or a reasonably accurate written summary of any such proposal or inquiry, if it is not in writing, and shall keep the Investor informed on a reasonably prompt basis with respect to any developments with respect to the foregoing.</w:t>
      </w:r>
    </w:p>
    <w:p>
      <w:pPr>
        <w:spacing w:after="0" w:line="191" w:lineRule="exact"/>
        <w:rPr>
          <w:rFonts w:ascii="Times New Roman" w:cs="Times New Roman" w:eastAsia="Times New Roman" w:hAnsi="Times New Roman"/>
          <w:sz w:val="18"/>
          <w:szCs w:val="18"/>
          <w:color w:val="auto"/>
        </w:rPr>
      </w:pPr>
    </w:p>
    <w:p>
      <w:pPr>
        <w:ind w:right="40" w:firstLine="1304"/>
        <w:spacing w:after="0" w:line="261" w:lineRule="auto"/>
        <w:tabs>
          <w:tab w:leader="none" w:pos="203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preceding provisions of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shall not apply to any equity issuances or transactions entered into by the Company pursuant to any at-the-market distribution program that the Company may implement from time to time or any equity line of credit program providing for the issuance by the Company from time to time of Common Shares or similar issuances or transactions initiated by the Company in connection with its efforts to raise capital through equity issuances.</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At all times during which the Investor or its Affiliates owns any Common Stock or Preferred Stock it will, or will cause its Affiliates to, from time to time upon the request of the Company, provide the Company with such information as is required by the Company or deemed reasonably necessary by the Company in order to permit the Company to comply with any regulatory requirements or know your customer type information, including those imposed by the OFAC, the U.S. Department of State, the United Nations Security Council, HM Treasury, the European Union or relevant member states of the European Union.</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EV Program</w:t>
      </w:r>
      <w:r>
        <w:rPr>
          <w:rFonts w:ascii="Times New Roman" w:cs="Times New Roman" w:eastAsia="Times New Roman" w:hAnsi="Times New Roman"/>
          <w:sz w:val="18"/>
          <w:szCs w:val="18"/>
          <w:color w:val="auto"/>
        </w:rPr>
        <w:t>. The Investor and the Company each agrees to use commercially reasonable good faith efforts to agree upon the Preferred Funding Milestones and the EV Program Budget no later than the 6-month anniversary of the date of this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CONDITIONS TO CLOSINGS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Conditions to the Obligations of the Company and the Investor</w:t>
      </w:r>
      <w:r>
        <w:rPr>
          <w:rFonts w:ascii="Times New Roman" w:cs="Times New Roman" w:eastAsia="Times New Roman" w:hAnsi="Times New Roman"/>
          <w:sz w:val="18"/>
          <w:szCs w:val="18"/>
          <w:color w:val="auto"/>
        </w:rPr>
        <w:t>. The respective obligations of each of the Company and the Investor to effect each Closing shall be subject to the satisfaction (or waiver, if permissible under applicable Law) on or prior to the Closing Date for such Closing of the following conditions:</w:t>
      </w:r>
    </w:p>
    <w:p>
      <w:pPr>
        <w:spacing w:after="0" w:line="176" w:lineRule="exact"/>
        <w:rPr>
          <w:sz w:val="20"/>
          <w:szCs w:val="20"/>
          <w:color w:val="auto"/>
        </w:rPr>
      </w:pPr>
    </w:p>
    <w:p>
      <w:pPr>
        <w:ind w:right="140" w:firstLine="1304"/>
        <w:spacing w:after="0" w:line="282" w:lineRule="auto"/>
        <w:tabs>
          <w:tab w:leader="none" w:pos="20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Judgment enacted, promulgated, issued, entered, amended or enforced by any Governmental Authority or any applicable Law (collectively, “</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shall be in effect enjoining or otherwise prohibiting consummation of the Transactions; and</w:t>
      </w:r>
    </w:p>
    <w:p>
      <w:pPr>
        <w:spacing w:after="0" w:line="161" w:lineRule="exact"/>
        <w:rPr>
          <w:rFonts w:ascii="Times New Roman" w:cs="Times New Roman" w:eastAsia="Times New Roman" w:hAnsi="Times New Roman"/>
          <w:sz w:val="18"/>
          <w:szCs w:val="18"/>
          <w:color w:val="auto"/>
        </w:rPr>
      </w:pPr>
    </w:p>
    <w:p>
      <w:pPr>
        <w:ind w:right="160" w:firstLine="1304"/>
        <w:spacing w:after="0" w:line="282" w:lineRule="auto"/>
        <w:tabs>
          <w:tab w:leader="none" w:pos="20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filing under the HSR Act is required for such Closing, then the applicable waiting periods, together with any extensions thereof, under the HSR Act shall have expired or been terminated.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Conditions to the Obligations of the Company</w:t>
      </w:r>
      <w:r>
        <w:rPr>
          <w:rFonts w:ascii="Times New Roman" w:cs="Times New Roman" w:eastAsia="Times New Roman" w:hAnsi="Times New Roman"/>
          <w:sz w:val="18"/>
          <w:szCs w:val="18"/>
          <w:color w:val="auto"/>
        </w:rPr>
        <w:t>. The obligations of the Company to effect each Closing shall be further subject to the satisfaction (or waiver, if permissible under applicable Law) on or prior to the Closing Date for such Closing of the following conditions:</w:t>
      </w:r>
    </w:p>
    <w:p>
      <w:pPr>
        <w:spacing w:after="0" w:line="162" w:lineRule="exact"/>
        <w:rPr>
          <w:sz w:val="20"/>
          <w:szCs w:val="20"/>
          <w:color w:val="auto"/>
        </w:rPr>
      </w:pPr>
    </w:p>
    <w:p>
      <w:pPr>
        <w:ind w:right="140" w:firstLine="1304"/>
        <w:spacing w:after="0" w:line="261" w:lineRule="auto"/>
        <w:tabs>
          <w:tab w:leader="none" w:pos="20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Investor set forth in this Agreement shall be true and correct as of the date of this Agreement and as of such Closing Date with the same effect as though made on and as of such date (except to the extent expressly made as of an earlier date, in which case as of such earlier date), except where the failure to be true and correct has not had and would not, individually or in the aggregate, reasonably be expected to have an Investor Material Adverse Effect;</w:t>
      </w:r>
    </w:p>
    <w:p>
      <w:pPr>
        <w:spacing w:after="0" w:line="179" w:lineRule="exact"/>
        <w:rPr>
          <w:rFonts w:ascii="Times New Roman" w:cs="Times New Roman" w:eastAsia="Times New Roman" w:hAnsi="Times New Roman"/>
          <w:sz w:val="18"/>
          <w:szCs w:val="18"/>
          <w:color w:val="auto"/>
        </w:rPr>
      </w:pPr>
    </w:p>
    <w:p>
      <w:pPr>
        <w:ind w:right="300" w:firstLine="1304"/>
        <w:spacing w:after="0" w:line="282" w:lineRule="auto"/>
        <w:tabs>
          <w:tab w:leader="none" w:pos="204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complied with or performed in all material respects its obligations required to be complied with or performed by it pursuant to this Agreement at or prior to such Closing; and</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20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on behalf of the Investor by an executive officer thereof, certifying that the conditions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have been satisfied.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96" w:name="page97"/>
    <w:bookmarkEnd w:id="96"/>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Conditions to the Obligations of the Investor</w:t>
      </w:r>
      <w:r>
        <w:rPr>
          <w:rFonts w:ascii="Times New Roman" w:cs="Times New Roman" w:eastAsia="Times New Roman" w:hAnsi="Times New Roman"/>
          <w:sz w:val="18"/>
          <w:szCs w:val="18"/>
          <w:color w:val="auto"/>
        </w:rPr>
        <w:t>. The obligations of the Investor to effect each Closing shall be further subject to the satisfaction (or waiver, if permissible under applicable Law) on or prior to the Closing Date for such Closing of the following conditions:</w:t>
      </w:r>
    </w:p>
    <w:p>
      <w:pPr>
        <w:spacing w:after="0" w:line="162" w:lineRule="exact"/>
        <w:rPr>
          <w:sz w:val="20"/>
          <w:szCs w:val="20"/>
          <w:color w:val="auto"/>
        </w:rPr>
      </w:pPr>
    </w:p>
    <w:p>
      <w:pPr>
        <w:ind w:firstLine="1304"/>
        <w:spacing w:after="0" w:line="254" w:lineRule="auto"/>
        <w:tabs>
          <w:tab w:leader="none" w:pos="20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 set forth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shall be true and correct (disregarding all qualifications or limitations as to “materiality,” “Material Adverse Effect” and words of similar import set forth therein) in all but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as of the date hereof and as of such Closing Date with the same effect as though made on and as of such date (except to the extent expressly made as of an earlier date, in which case as of such earlier date), and (ii) set forth in this Agreement, other than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3.03(b)(i)(A)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shall be true and correct (disregarding all qualifications or limitations as to “materiality”, “Material Adverse Effect” and words of similar import set forth therein) as of the date hereof and as of such Closing Date with the same effect as though made on and as of such date (except to the extent expressly made as of an earlier date, in which case as of such earlier date), except, in the case of this clause (ii), where the failure to be true and correct has not had and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300" w:firstLine="1304"/>
        <w:spacing w:after="0" w:line="282" w:lineRule="auto"/>
        <w:tabs>
          <w:tab w:leader="none" w:pos="204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or performed in all material respects its obligations required to be complied with or performed by it pursuant to this Agreement at or prior to such Closing;</w:t>
      </w:r>
    </w:p>
    <w:p>
      <w:pPr>
        <w:spacing w:after="0" w:line="161" w:lineRule="exact"/>
        <w:rPr>
          <w:rFonts w:ascii="Times New Roman" w:cs="Times New Roman" w:eastAsia="Times New Roman" w:hAnsi="Times New Roman"/>
          <w:sz w:val="18"/>
          <w:szCs w:val="18"/>
          <w:color w:val="auto"/>
        </w:rPr>
      </w:pPr>
    </w:p>
    <w:p>
      <w:pPr>
        <w:ind w:right="160" w:firstLine="1304"/>
        <w:spacing w:after="0" w:line="282" w:lineRule="auto"/>
        <w:tabs>
          <w:tab w:leader="none" w:pos="20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shall have received a certificate, signed on behalf of the Company by an executive officer thereof, certifying that the conditions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204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Closing, the Company shall have duly adopted and filed with the Secretary of State of the State of Delaware the Certificate of Designation, and a certified copy thereof shall have been delivered to the Investor;</w:t>
      </w:r>
    </w:p>
    <w:p>
      <w:pPr>
        <w:spacing w:after="0" w:line="161" w:lineRule="exact"/>
        <w:rPr>
          <w:rFonts w:ascii="Times New Roman" w:cs="Times New Roman" w:eastAsia="Times New Roman" w:hAnsi="Times New Roman"/>
          <w:sz w:val="18"/>
          <w:szCs w:val="18"/>
          <w:color w:val="auto"/>
        </w:rPr>
      </w:pPr>
    </w:p>
    <w:p>
      <w:pPr>
        <w:ind w:right="140" w:firstLine="1304"/>
        <w:spacing w:after="0" w:line="261" w:lineRule="auto"/>
        <w:tabs>
          <w:tab w:leader="none" w:pos="20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upon the Subsequent Common Closing, to the extent that the initial Investor Designees designated to be Investor Directors have been designated at least fifteen (15) Business Days prior to such Closing and such Investor Designees otherwise meet the requirements set forth in Section 5.09(e), the Board shall have taken all actions necessary and appropriate to cause to be elected or appointed to the Board, effective immediately following the Subsequent Common Closing, such initial Investor Designees; and</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issued at such Closing and any shares of Common Stock issuable upon conversion of the</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Series A Preferred Stock issued at such Closing at the Conversion Rate specified in the Certificate of Designations as in effect on the date hereof, in each case shall have been covered by a Listing of Additional Shares Notification Form submitted to Nasdaq.</w:t>
      </w:r>
    </w:p>
    <w:p>
      <w:pPr>
        <w:spacing w:after="0" w:line="1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Additional Conditions to the Obligations of the Company and the Investor to Effect the Subsequent Common Closing</w:t>
      </w:r>
      <w:r>
        <w:rPr>
          <w:rFonts w:ascii="Times New Roman" w:cs="Times New Roman" w:eastAsia="Times New Roman" w:hAnsi="Times New Roman"/>
          <w:sz w:val="18"/>
          <w:szCs w:val="18"/>
          <w:color w:val="auto"/>
        </w:rPr>
        <w:t>. The respective obligations of each of the Company and the Investor to effect the Subsequent Common Closing shall be further subject to the satisfaction (or waiver, if permissible under applicable Law) on or prior to the Subsequent Common Closing Date of the following condition: CFIUS Clearance shall have been obtained.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7" w:name="page98"/>
    <w:bookmarkEnd w:id="97"/>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Additional Conditions to the Obligations of the Investor to Effect the Second Preferred Closing and the Third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Investor to effect the Second Preferred Closing or the Third Preferred Closing, as applicable shall be further subject to the satisfaction (or waiver, if permissible under applicable Law) on or prior to the Second Preferred Closing Date or the Third Preferred Closing Date, as applicable, of the following conditions:</w:t>
      </w:r>
    </w:p>
    <w:p>
      <w:pPr>
        <w:spacing w:after="0" w:line="180" w:lineRule="exact"/>
        <w:rPr>
          <w:sz w:val="20"/>
          <w:szCs w:val="20"/>
          <w:color w:val="auto"/>
        </w:rPr>
      </w:pPr>
    </w:p>
    <w:p>
      <w:pPr>
        <w:ind w:left="2040" w:hanging="736"/>
        <w:spacing w:after="0"/>
        <w:tabs>
          <w:tab w:leader="none" w:pos="2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 shall have agreed to the EV Program Budget and the Preferred Funding Milestones; and</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Funding Milestone for such Closing shall have been satisfied.</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TERMINATION; SURVIVAL</w:t>
      </w:r>
    </w:p>
    <w:p>
      <w:pPr>
        <w:spacing w:after="0" w:line="22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and the Transactions abandoned at any time prior to the Initial Closing:</w:t>
      </w:r>
    </w:p>
    <w:p>
      <w:pPr>
        <w:spacing w:after="0" w:line="225" w:lineRule="exact"/>
        <w:rPr>
          <w:sz w:val="20"/>
          <w:szCs w:val="20"/>
          <w:color w:val="auto"/>
        </w:rPr>
      </w:pPr>
    </w:p>
    <w:p>
      <w:pPr>
        <w:ind w:left="2040" w:hanging="736"/>
        <w:spacing w:after="0"/>
        <w:tabs>
          <w:tab w:leader="none" w:pos="2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the Investor;</w:t>
      </w:r>
    </w:p>
    <w:p>
      <w:pPr>
        <w:spacing w:after="0" w:line="225" w:lineRule="exact"/>
        <w:rPr>
          <w:rFonts w:ascii="Times New Roman" w:cs="Times New Roman" w:eastAsia="Times New Roman" w:hAnsi="Times New Roman"/>
          <w:sz w:val="18"/>
          <w:szCs w:val="18"/>
          <w:color w:val="auto"/>
        </w:rPr>
      </w:pPr>
    </w:p>
    <w:p>
      <w:pPr>
        <w:jc w:val="both"/>
        <w:ind w:right="220" w:firstLine="1304"/>
        <w:spacing w:after="0" w:line="261" w:lineRule="auto"/>
        <w:tabs>
          <w:tab w:leader="none" w:pos="20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Investor upon written notice to the other, if the Initial Closing has not occurred on or prior to November 7, 2023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shall not be available to any party if the breach by such party of its representations and warranties set forth in this Agreement or the failure of such party to perform any of its obligations under this Agreement has been a principal cause of or resulted in the events specified in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0" w:firstLine="1304"/>
        <w:spacing w:after="0" w:line="266" w:lineRule="auto"/>
        <w:tabs>
          <w:tab w:leader="none" w:pos="20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the Investor if any Restraint enjoining or otherwise prohibiting consummation of the Transactions shall be in effect and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shall have used the required efforts to cause the conditions to Closing to be satisfied in accordance with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55" w:lineRule="auto"/>
        <w:tabs>
          <w:tab w:leader="none" w:pos="20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Investor if the Company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and (ii) is incapable of being cured prior to the Termination Date, or if capable of being cured, shall not have been cured within thirty (30) calendar days (but in no event later than the Termination Date) following receipt by the Company of written notice of such breach or failure to perform from the Investor stating the Investor’s intention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not have the right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if the Investor is then in material breach of any of its representations, warranties, covenants or agreements hereunder; or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8" w:name="page99"/>
    <w:bookmarkEnd w:id="98"/>
    <w:p>
      <w:pPr>
        <w:ind w:right="60" w:firstLine="1304"/>
        <w:spacing w:after="0" w:line="255" w:lineRule="auto"/>
        <w:tabs>
          <w:tab w:leader="none" w:pos="20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the Investor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(ii) is incapable of being cured prior to the Termination Date, or if capable of being cured, shall not have been cured within thirty (30) calendar days (but in no event later than the Termination Date) following receipt by the Investor of written notice of such breach or failure to perform from the Company stating the Company’s intention to terminate this Agreement pursuant to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w:t>
      </w:r>
    </w:p>
    <w:p>
      <w:pPr>
        <w:spacing w:after="0" w:line="18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written notice thereof shall be given to the other party, specifying the provision hereof pursuant to which such termination is made, and this Agreement shall forthwith become null and void (other than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knowing or intentional breach of this Agreement or from Fraud.</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Except in the case of Fraud, the representations and warranties of the parties set forth in this Agreement and in any document delivered in connection herewith shall not survive the Closing. All of the covenants or other agreements of the parties contained in this Agreement shall survive until fully performed or fulfilled, unless and to the extent that non-compliance with such covenants or agreements is waived in writing by the party entitled to such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Subject to compliance with applicable Law, this Agreement may be amended or supplemented in any and all respects by written agreement of the parties hereto.</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Extension of Time, Waiver, Etc.</w:t>
      </w:r>
      <w:r>
        <w:rPr>
          <w:rFonts w:ascii="Times New Roman" w:cs="Times New Roman" w:eastAsia="Times New Roman" w:hAnsi="Times New Roman"/>
          <w:sz w:val="18"/>
          <w:szCs w:val="18"/>
          <w:color w:val="auto"/>
        </w:rPr>
        <w:t xml:space="preserve">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9" w:name="page100"/>
    <w:bookmarkEnd w:id="99"/>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ind w:right="260" w:firstLine="8"/>
        <w:spacing w:after="0" w:line="253" w:lineRule="auto"/>
        <w:tabs>
          <w:tab w:leader="none" w:pos="24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or any Investor Party may assign its rights, interests and obligations under this Agreement, in whole or in part, to one or more Investor Parties and (b) in the event of such assignment, the assignee shall agree in writing to be bound by the provisions of this Agreement, including the rights, interests and obligations so assigned;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will relieve the Investor of its obligations hereunder prior to or at each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Investor Party shall assign any of its obligations hereunder with the primary intent of avoiding, circumventing or eliminating such Investor Party’s obligations hereunder.</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and any other Transaction Documents may be executed in one or more counterparts (including by facsimile and electronic mail), each of which shall be deemed to be an original but all of which taken together shall constitute one and the same agreement, and shall become effective when one or more counterparts have been signed by each of the parties hereto (including by electronic signature) and delivered to the other parties hereto (including electronically, e.g., in PDF format).</w:t>
      </w:r>
    </w:p>
    <w:p>
      <w:pPr>
        <w:spacing w:after="0" w:line="18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including the Company Disclosure Letter, together with the other Transaction Documents,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00" w:firstLine="1304"/>
        <w:spacing w:after="0" w:line="261" w:lineRule="auto"/>
        <w:tabs>
          <w:tab w:leader="none" w:pos="203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matters, claims or Actions (whether at law, in equity, in Contract, in tort or otherwise) based upon, arising out of or relating to this Agreement, execution or performance of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179" w:lineRule="exact"/>
        <w:rPr>
          <w:rFonts w:ascii="Times New Roman" w:cs="Times New Roman" w:eastAsia="Times New Roman" w:hAnsi="Times New Roman"/>
          <w:sz w:val="18"/>
          <w:szCs w:val="18"/>
          <w:color w:val="auto"/>
        </w:rPr>
      </w:pPr>
    </w:p>
    <w:p>
      <w:pPr>
        <w:ind w:firstLine="1304"/>
        <w:spacing w:after="0" w:line="253" w:lineRule="auto"/>
        <w:tabs>
          <w:tab w:leader="none" w:pos="20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Actions arising out of or relating to this Agreement shall be heard and determined in the Chancery Court of the State of Delaware (or, if the Chancery Court of the State of Delaware declines to accept jurisdiction over any Action, any state or federal court within the State of Delaware)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0" w:name="page101"/>
    <w:bookmarkEnd w:id="100"/>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Specific Enforcement</w:t>
      </w:r>
      <w:r>
        <w:rPr>
          <w:rFonts w:ascii="Times New Roman" w:cs="Times New Roman" w:eastAsia="Times New Roman" w:hAnsi="Times New Roman"/>
          <w:sz w:val="18"/>
          <w:szCs w:val="18"/>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cause each of the Closings to occur, and that time is of the essence.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purchases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to be consummated on the terms and subject to the conditions set forth in this Agreement) in the courts described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1" w:name="page102"/>
    <w:bookmarkEnd w:id="101"/>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by facsimile (which is confirmed), emailed (which is confirmed) or sent by overnight courier (providing proof of delivery) to the parties at the following addresses:</w:t>
      </w:r>
    </w:p>
    <w:p>
      <w:pPr>
        <w:spacing w:after="0" w:line="176" w:lineRule="exact"/>
        <w:rPr>
          <w:sz w:val="20"/>
          <w:szCs w:val="20"/>
          <w:color w:val="auto"/>
        </w:rPr>
      </w:pPr>
    </w:p>
    <w:p>
      <w:pPr>
        <w:ind w:left="2040" w:hanging="736"/>
        <w:spacing w:after="0"/>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2300 Hallock Young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Lordstown, Ohio 44481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CEO and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127 Public Square, Suite 2000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Cleveland, Ohio 44114</w:t>
      </w:r>
    </w:p>
    <w:p>
      <w:pPr>
        <w:spacing w:after="0" w:line="9" w:lineRule="exact"/>
        <w:rPr>
          <w:sz w:val="20"/>
          <w:szCs w:val="20"/>
          <w:color w:val="auto"/>
        </w:rPr>
      </w:pPr>
    </w:p>
    <w:p>
      <w:pPr>
        <w:ind w:left="1960"/>
        <w:spacing w:after="0"/>
        <w:tabs>
          <w:tab w:leader="none" w:pos="2940" w:val="left"/>
        </w:tabs>
        <w:rPr>
          <w:sz w:val="20"/>
          <w:szCs w:val="20"/>
          <w:color w:val="auto"/>
        </w:rPr>
      </w:pPr>
      <w:r>
        <w:rPr>
          <w:rFonts w:ascii="Times New Roman" w:cs="Times New Roman" w:eastAsia="Times New Roman" w:hAnsi="Times New Roman"/>
          <w:sz w:val="18"/>
          <w:szCs w:val="18"/>
          <w:color w:val="auto"/>
        </w:rPr>
        <w:t>Attention:</w:t>
        <w:tab/>
        <w:t>Ronald Stepanovic</w:t>
      </w:r>
    </w:p>
    <w:p>
      <w:pPr>
        <w:spacing w:after="0" w:line="207" w:lineRule="exact"/>
        <w:rPr>
          <w:sz w:val="20"/>
          <w:szCs w:val="20"/>
          <w:color w:val="auto"/>
        </w:rPr>
      </w:pPr>
    </w:p>
    <w:p>
      <w:pPr>
        <w:ind w:left="2060" w:hanging="756"/>
        <w:spacing w:after="0"/>
        <w:tabs>
          <w:tab w:leader="none" w:pos="2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Investor or any Investor Party, to the Investor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Foxconn Ventures Ptd. Ltd.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Hon Hai Precision Industry Co., Ltd.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 66, Zhongshan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Tucheng Industrial Zone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Tucheng District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Taipei City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23680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Jerry Hsiao</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Mike Huang</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2" w:name="page103"/>
    <w:bookmarkEnd w:id="102"/>
    <w:p>
      <w:pPr>
        <w:spacing w:after="0" w:line="261" w:lineRule="auto"/>
        <w:rPr>
          <w:sz w:val="20"/>
          <w:szCs w:val="20"/>
          <w:color w:val="auto"/>
        </w:rPr>
      </w:pPr>
      <w:r>
        <w:rPr>
          <w:rFonts w:ascii="Times New Roman" w:cs="Times New Roman" w:eastAsia="Times New Roman" w:hAnsi="Times New Roman"/>
          <w:sz w:val="18"/>
          <w:szCs w:val="18"/>
          <w:color w:val="auto"/>
        </w:rPr>
        <w:t>or such other address, email address or facsimile number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herein, all costs and expenses, including fees and disbursements of counsel, financial advisors and accountants, incurred in connection with this Agreement and the Transactions shall be paid by the party incurring such costs and expenses, whether or not the Closing shall have occurred.</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8.12</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2" w:lineRule="auto"/>
        <w:tabs>
          <w:tab w:leader="none" w:pos="20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the Investor” and words of similar import refer to documents delivered in Person or electronically to the Investor or its respective Representatives.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In the event that the Common Stock is listed on a national securities exchange other than the Nasdaq, all references herein to the Nasdaq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if otherwise required by Law, if the last day of such period is not a Business Day, the period in question shall end on the next succeeding Business Day).</w:t>
      </w:r>
    </w:p>
    <w:p>
      <w:pPr>
        <w:spacing w:after="0" w:line="187" w:lineRule="exact"/>
        <w:rPr>
          <w:rFonts w:ascii="Times New Roman" w:cs="Times New Roman" w:eastAsia="Times New Roman" w:hAnsi="Times New Roman"/>
          <w:sz w:val="18"/>
          <w:szCs w:val="18"/>
          <w:color w:val="auto"/>
        </w:rPr>
      </w:pPr>
    </w:p>
    <w:p>
      <w:pPr>
        <w:jc w:val="both"/>
        <w:ind w:right="140" w:firstLine="1304"/>
        <w:spacing w:after="0" w:line="266" w:lineRule="auto"/>
        <w:tabs>
          <w:tab w:leader="none" w:pos="2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Edward T. Hightower</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CEO and 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FOXCONN VENTURES PTE. LTD.</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Jerry Hsiao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Jerry Hsiao</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ANNEX I</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ANNEX II</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FOXCONN VENTURES PTE. LTD.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Dated as of [•],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0" w:type="dxa"/>
            <w:vAlign w:val="bottom"/>
            <w:gridSpan w:val="4"/>
          </w:tcPr>
          <w:p>
            <w:pPr>
              <w:jc w:val="center"/>
              <w:ind w:right="46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0" w:type="dxa"/>
            <w:vAlign w:val="bottom"/>
            <w:gridSpan w:val="4"/>
          </w:tcPr>
          <w:p>
            <w:pPr>
              <w:jc w:val="center"/>
              <w:ind w:right="468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14"/>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4680" w:type="dxa"/>
            <w:vAlign w:val="bottom"/>
            <w:gridSpan w:val="3"/>
          </w:tcPr>
          <w:p>
            <w:pPr>
              <w:spacing w:after="0"/>
              <w:rPr>
                <w:sz w:val="18"/>
                <w:szCs w:val="18"/>
                <w:color w:val="auto"/>
              </w:rPr>
            </w:pPr>
          </w:p>
        </w:tc>
      </w:tr>
      <w:tr>
        <w:trPr>
          <w:trHeight w:val="198"/>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80" w:type="dxa"/>
            <w:vAlign w:val="bottom"/>
            <w:gridSpan w:val="3"/>
          </w:tcPr>
          <w:p>
            <w:pPr>
              <w:ind w:left="43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
        </w:trPr>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w w:val="75"/>
              </w:rPr>
              <w:t> </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 Incidental Registrations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1.1   Right to Include Registrable Securities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1.2   Priority in Incidental Registrations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II Registration on Request</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2.1   Request by the Demand Party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2.2   Priority on Demand Registration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2.3   Cancellation of a Demand Registration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2.4   Postponements in Requested Registrations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2.5   Shelf Registration Statement</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2.6   Shelf Take-Downs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2.7   Selection of Underwriters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Registration Procedures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3.1   Registration Procedures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3.2   Holder Information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3.3   Amendments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3.4   Other Holders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3.5   Discontinued Disposition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IV Indemnification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4.1   Indemnification by the Company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4.2   Indemnification by Holder</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4.3   Conduct of Indemnification Proceedings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4.4   Contribution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4.5   Deemed Underwriter</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4.6   Other Indemnification</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4.7   Non-Exclusivity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V Registration Expenses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5.1   Registration Expenses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VI Rule 144</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6.1   Rule 144</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ARTICLE VII Selection of Counsel</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Section 7.1   Selection of Counsel</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4060" w:type="dxa"/>
            <w:vAlign w:val="bottom"/>
            <w:gridSpan w:val="2"/>
          </w:tcPr>
          <w:p>
            <w:pPr>
              <w:jc w:val="center"/>
              <w:ind w:right="2140"/>
              <w:spacing w:after="0" w:line="193"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140" w:type="dxa"/>
            <w:vAlign w:val="bottom"/>
          </w:tcPr>
          <w:p>
            <w:pPr>
              <w:spacing w:after="0"/>
              <w:rPr>
                <w:sz w:val="20"/>
                <w:szCs w:val="20"/>
                <w:color w:val="auto"/>
              </w:rPr>
            </w:pPr>
          </w:p>
        </w:tc>
        <w:tc>
          <w:tcPr>
            <w:tcW w:w="2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2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720" w:type="dxa"/>
            <w:vAlign w:val="bottom"/>
            <w:gridSpan w:val="3"/>
            <w:vMerge w:val="continue"/>
          </w:tcPr>
          <w:p>
            <w:pPr>
              <w:spacing w:after="0"/>
              <w:rPr>
                <w:sz w:val="21"/>
                <w:szCs w:val="21"/>
                <w:color w:val="auto"/>
              </w:rPr>
            </w:pPr>
          </w:p>
        </w:tc>
        <w:tc>
          <w:tcPr>
            <w:tcW w:w="2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   Holdback Agreement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8.2   Amendments and Waivers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8.3   Successors, Assigns and Transferees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8.4   Notices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8.5   Descriptive Headings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8.6   Severability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8.7   Counterparts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8.8   Governing Law; Submission to Jurisdiction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8.9   Specific Performance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8.10 Further Assurances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8.11 Termination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8.12 No Inconsistent Agreements; Most Favored Nations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2022, by and between Lordstown Motors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Foxconn Ventures Pte. Ltd., a private company limited by shares established under the laws of Singapore (together with its respective successors and assigns,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Capitalized terms used but not defined elsewhere herein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Investor and any other party that may become a party hereto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are referred to collectively as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individually each as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Company and the Investor are parties to that certain Investment Agreement, dated as of November 7, 2022 (as amended from time to time,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pursuant to which the Company is issuing and selling to the Investor, and the Investor is committed to purchase from the Company, upon the satisfaction of certain conditions pursuant to the Investment Agreement (a) 39,772,727 shares of Common Stock and (b) 1,000,000 shares of Series A Preferred Stock;</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WHEREAS, as a condition to the obligations of the Company and the Investor under the Investment Agreement, the Company and the Investor are entering into this Agreement for the purpose of granting certain registration and other rights to the Investors.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in this Agreement, the receipt and sufficiency of which are hereby acknowledged, the parties to this Agreement hereby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Incidental Registrations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Right to Include Registrable Securities</w:t>
      </w:r>
      <w:r>
        <w:rPr>
          <w:rFonts w:ascii="Times New Roman" w:cs="Times New Roman" w:eastAsia="Times New Roman" w:hAnsi="Times New Roman"/>
          <w:sz w:val="18"/>
          <w:szCs w:val="18"/>
          <w:color w:val="auto"/>
        </w:rPr>
        <w:t xml:space="preserve">. If the Company proposes to register its Common Stock under the Securities Act (other than pursuant to a Registration Statement filed by the Company on Form S-4 or S-8, or any successor or other forms promulgated for similar purposes or filed solely in connection with an exchange offer or any employee benefit or dividend reinvestment plan), whether or not for sale for its own account, in a manner which would permit registration of Registrable Securities for sale to the public under the Securities Act, it will, at each such time, give prompt written notice to all Holders of its intention to do so and of such Holders’ rights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Upon the written request of any such Holder made within seven (7) calendar days after the receipt of any such notice (which request shall specify the Registrable Securities intended to be disposed of by such Holder), the Company will use its reasonable best efforts to effect the registration under the Securities Act of all Registrable Securities which the Company has been so requested to register by the Holders thereof, to the extent required to permit the disposition of the Registrable Securities so to be registered;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at any time after giving written notice of its intention to register any securities and prior to the effective date of the Registration Statement filed in connection with such registration, the Company shall determine for any reason not to proceed with the proposed registration of the securities, the Company may, at its election, give written notice of such determination to each Holder and, thereupon, shall be relieved of its obligation to register any Registrable Securities in connection with such registration (but not from its obligation to pay the registration expenses pursuant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hereof in connection therewith), without prejudice to the rights of the Holders to request that such registration be effected as a registration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(ii) if such registration involves an underwritten offering, all Holders requesting to be included in the Company’s registration and to participate in the underwritten offering must sell their Registrable Securities to the underwriters selected by the Company on the same terms and conditions as apply to the Company, with such differences, including any with respect to indemnification and liability, as are customary in combined primary and secondary offerings by the Company and the Investor. If a registration requested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involves an underwritten public offering, any Holder requesting to be included in such registration may elect, in writing at least two business days prior to the effective date of the Registration Statement filed in connection with such registration or, in the case of a takedown from a Shelf Registration Statement, prior to the launch of such takedown, not to register such securities in connection with such registration. The Company shall not be required to maintain the effectiveness of the Registration Statement for a registration requested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beyond the earlier to occur of (i) 180 calendar days after the effective date thereof and (ii) consummation of the distribution by the Holders of the Registrable Securities included in such Registration Statement. Any Holder who has elected to sell Registrable Securities in an underwritten offering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permitted to withdraw from such registration by written notice to the Company if the price to the public at which the Registrable Securities are proposed to be sold will be less than 90% of the average closing price of the class of stock being sold in the offering during the 10 trading days preceding the date on which the notice of such offering was given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For the avoidance of doubt, any at-the-market or similar open market sales program whereby the Company sells securities into an existing trading market from time to time at other than a fixed price is not an underwritten offering for purposes of this Article 1, regardless of whether any sales agent is identified as or deemed to be an “underwriter” with respect thereto.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Priority in Incidental Registrations</w:t>
      </w:r>
      <w:r>
        <w:rPr>
          <w:rFonts w:ascii="Times New Roman" w:cs="Times New Roman" w:eastAsia="Times New Roman" w:hAnsi="Times New Roman"/>
          <w:sz w:val="18"/>
          <w:szCs w:val="18"/>
          <w:color w:val="auto"/>
        </w:rPr>
        <w:t>. The Company shall use reasonable efforts to cause the managing underwriter or underwriters of a proposed underwritten offering to permit Holders who have requested to include Registrable Securities in such offering to include in such offering all Registrable Securities so requested to be included on the same terms and conditions as any other shares of capital stock, if any, of the Company included in the offering. Notwithstanding the foregoing, if the managing underwriter or underwriters of such underwritten offering have informed the Company in writing that it is their good faith opinion that the total amount of securities that are intended to be included in such offering is such as to adversely affect the success of such offering (including adversely affect the per-share offering price), then the amount of securities to be offered shall be reduced to the amount recommended by such managing underwriter or underwriters in its or their good faith opinion, which will be allocated in the following order of priority: (i) first, the securities to be proposed to be sold by the Company for its own account in the event the underwritten offering is initiated by the Company or, in the alternative, the securities proposed to be sold by holders pursuant to their registration rights in the event the underwritten offering is initiated by demanding holders pursuant to registration rights other than pursuant to this Agreement and (ii) second, pro rata on the basis of the percentage of securities requested to be included in such underwritten offering among the Investors, the Holders and any other holders of Common Stock that have requested to be included in such underwritten offering as a result of registration rights or otherwise (other than in the situation described in clause (i)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on Request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Request by the Demand Party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Subject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Holder shall have the right, by delivering a written notice to the Company, to require the Company to register, at any time pursuant to the terms of this Agreement, under and in accordance with the provisions of the Securities Act, the number of Registrable Securities of such Holder requested to be so registered pursuant to the terms of this Agreement (any such written notice,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any such registration,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and any such Holder, a “</w:t>
      </w:r>
      <w:r>
        <w:rPr>
          <w:rFonts w:ascii="Times New Roman" w:cs="Times New Roman" w:eastAsia="Times New Roman" w:hAnsi="Times New Roman"/>
          <w:sz w:val="18"/>
          <w:szCs w:val="18"/>
          <w:u w:val="single" w:color="auto"/>
          <w:color w:val="auto"/>
        </w:rPr>
        <w:t>Demand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Demand Notice may only be made if the sale of the Registrable Securities requested to be registered by such Holder is reasonably expected to result in aggregate gross cash proceeds in excess of $25,000,000 (without regard to any underwriting discount or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be obligated to file a registration statement relating to any registration request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 there is an effective Shelf Registration Statement including the Registrable Securities, in which case the offering will be subject to Section 2.6, (ii) within the period as may be specified by the Company’s insider trading policy as applicable to Company employees generally for any fiscal quarter or year or any special blackout period as specified by the Company’s insider trading policy (each,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or (iii) within a period of sixty (60) calendar days after the effective date of any other registration statement relating to any registration request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elsewhere herein shall be construed as limiting the frequency by which a Holder may effect a Shelf Underwritten Offering or Non-Underwritten Shelf Take-Down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Following receipt of a Demand Notice for a Demand Registration in accordance with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Company shall use its reasonable best efforts to file a Registration Statement as promptly as practicable within thirty (30) calendar days and shall use its reasonable best efforts to cause such Registration Statement to be declared effective under the Securities Act as promptly as practicable after the filing thereof.</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(b)               No Demand Registration shall be deemed to have occurred for purposes of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if (i) the Registration Statement relating thereto</w:t>
      </w:r>
    </w:p>
    <w:p>
      <w:pPr>
        <w:spacing w:after="0" w:line="21" w:lineRule="exact"/>
        <w:rPr>
          <w:sz w:val="20"/>
          <w:szCs w:val="20"/>
          <w:color w:val="auto"/>
        </w:rPr>
      </w:pPr>
    </w:p>
    <w:p>
      <w:pPr>
        <w:jc w:val="both"/>
        <w:ind w:firstLine="8"/>
        <w:spacing w:after="0" w:line="251" w:lineRule="auto"/>
        <w:tabs>
          <w:tab w:leader="none" w:pos="27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not become effective, (y) is not maintained effective for the period required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(z) the offering of the Registrable Securities pursuant to such Registration Statement is subject to a stop order, injunction, or similar order or requirement of the SEC during such period, in which case, such requesting Holder shall be entitled to an additional Demand Registration in lieu thereof, (ii) more than 90% of the Registrable Securities requested by the Demand Party to be included in the registration are not so included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(iii) in the case of a Demand Registration for an underwritten offering, the conditions to closing specified in any underwriting agreement, purchase agreement or similar agreement entered into in connection with the registration relating to such request are not satisfied (other than as a result of a material default or breach thereunder by such Demand Party) or otherwise waived by such Demand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obligation to pay the registration expenses pursuant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hereof in connection therewith shall still apply.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As promptly as practicable within seven (7) calendar days after receipt by the Company of a Demand Notice in accordance with Section 2.1(a), the Company shall give written notice (the “</w:t>
      </w:r>
      <w:r>
        <w:rPr>
          <w:rFonts w:ascii="Times New Roman" w:cs="Times New Roman" w:eastAsia="Times New Roman" w:hAnsi="Times New Roman"/>
          <w:sz w:val="18"/>
          <w:szCs w:val="18"/>
          <w:u w:val="single" w:color="auto"/>
          <w:color w:val="auto"/>
        </w:rPr>
        <w:t>Demand Follow-up Notice</w:t>
      </w:r>
      <w:r>
        <w:rPr>
          <w:rFonts w:ascii="Times New Roman" w:cs="Times New Roman" w:eastAsia="Times New Roman" w:hAnsi="Times New Roman"/>
          <w:sz w:val="18"/>
          <w:szCs w:val="18"/>
          <w:color w:val="auto"/>
        </w:rPr>
        <w:t xml:space="preserve">”) of such Demand Notice to all other Holders and shall, subject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include in such registration all Registrable Securities with respect to which the Company received written requests for inclusion therein within five (5) calendar days after such Demand Follow-up Notice is given by the Company to such Holders, provided that the Company shall not provide a Demand Follow-up Notice to any other Holder in the case of a sale of Registrable Securities by any Investor to one or several purchasers pursuant to a Shelf Underwritten Offering by means of a bought deal, a block trade or a similar transaction that is an underwritten offering (a “</w:t>
      </w:r>
      <w:r>
        <w:rPr>
          <w:rFonts w:ascii="Times New Roman" w:cs="Times New Roman" w:eastAsia="Times New Roman" w:hAnsi="Times New Roman"/>
          <w:sz w:val="18"/>
          <w:szCs w:val="18"/>
          <w:u w:val="single" w:color="auto"/>
          <w:color w:val="auto"/>
        </w:rPr>
        <w:t>Block Sale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All requests made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will specify the number of Registrable Securities to be registered and the intended methods of disposition thereof.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Company shall be required to maintain the effectiveness of the Registration Statement with respect to any Demand Registration for a period of at least one hundred and eighty (180) calendar days after the effective date thereof or such shorter period during which all Registrable Securities included in such Registration Statement have actually been sold;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period shall be extended for a period of time equal to the period the Holder refrains from selling any securities included in such Registration Statement at the request of the Company or an underwriter of the Company pursuant to the provisions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Priority on Demand Registration</w:t>
      </w:r>
      <w:r>
        <w:rPr>
          <w:rFonts w:ascii="Times New Roman" w:cs="Times New Roman" w:eastAsia="Times New Roman" w:hAnsi="Times New Roman"/>
          <w:sz w:val="18"/>
          <w:szCs w:val="18"/>
          <w:color w:val="auto"/>
        </w:rPr>
        <w:t>. If any of the Registrable Securities registered pursuant to a Demand Registration are to be sold in a firm commitment underwritten offering, and the managing underwriter or underwriters advise the Holders of such securities in writing that in its or their good faith opinion the total number or dollar amount of Registrable Securities proposed to be sold in such offering is such as to adversely affect the success of such offering (including, without limitation, securities proposed to be included by other holders of securities entitled to include securities in such Registration Statement pursuant to incidental or piggyback registration rights), then there shall be included in such firm commitment underwritten offering the number or dollar amount of Registrable Securities that in the good faith opinion of such managing underwriter or underwriters can be sold without adversely affecting such offering, and such number of Registrable Securities shall be allocated as follows, unless the underwriter or underwriters require a different allocation: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first, to each Investor pro rata among such Investors on the basis of the percentage of the Registrable Securities owned by each such Investor relative to the number of Registrable Securities owned by all such Investors, until all Registrable Securities requested for registration by each such Investor have been included in such registration;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(b)               second, to any Holders other than any Investor requesting such Demand Registration (whether pursuant to a Demand Notice or pursuant to incidental or piggyback registration rights) among such Holders pro rata on the basis of the percentage of Registrable Securities owned by each such Holder relative to the number of Registrable Securities owned by all such 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(c)               third, the securities for which inclusion in such Demand Registration, as the case may be, was requested by any other holders of Common Stock as a result of registration rights or otherwise;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fourth, the securities for which inclusion in such Demand Registration was requested by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Cancellation of a Demand Registration</w:t>
      </w:r>
      <w:r>
        <w:rPr>
          <w:rFonts w:ascii="Times New Roman" w:cs="Times New Roman" w:eastAsia="Times New Roman" w:hAnsi="Times New Roman"/>
          <w:sz w:val="18"/>
          <w:szCs w:val="18"/>
          <w:color w:val="auto"/>
        </w:rPr>
        <w:t xml:space="preserve">. Each Demand Party and the Holders of a majority of the Registrable Securities which are to be registered in a particular offering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shall have the right, prior to the effectiveness of the Registration Statement, to notify the Company that it or they, as the case may be, has or have determined that such Registration Statement be abandoned or withdrawn, in which event the Company shall abandon or withdraw such registration statement. Any Holder who has elected to sell Registrable Securities in an underwritten offering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(including the Demand Party of such Demand Registration) shall be permitted to withdraw from such registration by written notice to the Company if the price to the public at which the Registrable Securities are proposed to be sold will be less than 90% of the average closing price of the class of stock being sold in the offering during the ten (10) trading days preceding the date on which the Demand Notice of such offering was given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Postponements in Requested Registrations</w:t>
      </w:r>
      <w:r>
        <w:rPr>
          <w:rFonts w:ascii="Times New Roman" w:cs="Times New Roman" w:eastAsia="Times New Roman" w:hAnsi="Times New Roman"/>
          <w:sz w:val="18"/>
          <w:szCs w:val="18"/>
          <w:color w:val="auto"/>
        </w:rPr>
        <w:t xml:space="preserve">. If the Company shall at any time furnish to the Holders a certificate signed by its chairman of the board, chief executive officer or president stating that the filing of a Registration Statement or conducting a Shelf Underwritten Offering or Non-Underwritten Shelf Take-Down would, in the good faith judgment of the board of directors of the Company (after consultation with external legal counsel), (i) require the Company to make an Adverse Disclosure; (ii) materially interfere with any material proposed acquisition, disposition, financing, reorganization, recapitalization or similar transaction involving the Company or any of its subsidiaries then under consideration or (iii) be materially detrimental to the Company and its stockholders, the Company may postpone the filing (but not the preparation) of a Registration Statement or the commencement or continuation of a Shelf Underwritten Offering or Non-Underwritten Shelf Take-Down, as applicable, required by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until such circumstance is no longer continuing but not to exceed sixty (60) days (such period, a “</w:t>
      </w:r>
      <w:r>
        <w:rPr>
          <w:rFonts w:ascii="Times New Roman" w:cs="Times New Roman" w:eastAsia="Times New Roman" w:hAnsi="Times New Roman"/>
          <w:sz w:val="18"/>
          <w:szCs w:val="18"/>
          <w:u w:val="single" w:color="auto"/>
          <w:color w:val="auto"/>
        </w:rPr>
        <w:t>Postponement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at all times in good faith use its commercially reasonable best efforts to cause any Registration Statement required by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to be filed as soon as possible or any Shelf Underwritten Offering or Non-Underwritten Shelf Take-Down to be conducted or continued as soon as possible, as applicable; provided, further, that the Company shall not be permitted to commence a Postponement Period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more than once in any 180-day period. The Company shall promptly give the Holders requesting registration thereof or that delivered a Take-Down Notice, as applicable,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written notice of any postponement made in accordance with the preceding sentence.</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Shelf Registration Statement.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Promptly following the earlier to occur of (x) the Subsequent Common Closing, (y) the CFIUS Turndown and (z) May 7, 2023, the Company shall file with the SEC a shelf Registration Statement (on Form S-3 to the extent permissible)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covering the resale of all Registrable Securities, and shall use reasonable best efforts to cause such registration statement to become effective no later than three months after the date hereof. Upon filing the Shelf Registration Statement, the Company shall use its reasonable best efforts to keep such Shelf Registration Statement effective with the SEC at all times and to re-file such Shelf Registration Statement upon its expiration (if any), and subject to </w:t>
      </w:r>
      <w:r>
        <w:rPr>
          <w:rFonts w:ascii="Times New Roman" w:cs="Times New Roman" w:eastAsia="Times New Roman" w:hAnsi="Times New Roman"/>
          <w:sz w:val="18"/>
          <w:szCs w:val="18"/>
          <w:u w:val="single" w:color="auto"/>
          <w:color w:val="auto"/>
        </w:rPr>
        <w:t>Sections 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to cooperate in any shelf take-down, whether or not underwritten, by amending or supplementing the Prospectus related to such Shelf Registration Statement as may be reasonably requested by the Holders or as otherwise required, until such time as all Registrable Securities that could be sold in such Shelf Registration Statement have been sold or are no longer outstanding.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               If the Company is a well-known seasoned issuer (as defined in Rule 405) (a “</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at a time when it is obligated to file a Shelf Registration Statement pursuant to this Agreement, the Company shall file an automatic shelf registration statement (as defined in Rule 405 of the Securities Act) on Form S-3 (an “</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in accordance with the requirements of the Securities Act and the rules and regulations of the SEC thereunder, that covers the Registrable Securities. The Company shall pay the registration fee for all Registrable Securities to be registered pursuant to an Automatic Shelf Registration Statement at the time of filing of the Automatic Shelf Registration Statement and shall not elect to pay any portion of the registration fee on a deferred basis. If at any time following the filing of an Automatic Shelf Registration Statement when the Company is required to re-evaluate its WKSI status the Company determines that it is not a WKSI, the Company shall use its reasonable best efforts to post-effectively amend the Automatic Shelf Registration Statement to a Shelf Registration Statement that is not automatically effective or file a new Shelf Registration Statement.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               To the extent that the Company becomes ineligible to use Form S-3, the Company shall file a “shelf” registration statement on Form S-1 (or a post-effective amendment on Form S-1 if a Shelf Registration Statement is then effective) registering the Registrable Securities for resale not later than thirty (30) calendar days after the date of such ineligibility and use its reasonable best efforts to have such registration statement (or post-effective amendment) declared effective as promptly as practicable.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xml:space="preserve">. At any time that a Shelf Registration Statement covering Registrable Securities pursuant to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is effective, each Investor may, deliver a written notice to the Company (a “</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stating that it intends to effect an underwritten offering (a “</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or other non-underwritten sale (a “</w:t>
      </w:r>
      <w:r>
        <w:rPr>
          <w:rFonts w:ascii="Times New Roman" w:cs="Times New Roman" w:eastAsia="Times New Roman" w:hAnsi="Times New Roman"/>
          <w:sz w:val="18"/>
          <w:szCs w:val="18"/>
          <w:u w:val="single" w:color="auto"/>
          <w:color w:val="auto"/>
        </w:rPr>
        <w:t>Non-Underwritten Shelf Take-Down</w:t>
      </w:r>
      <w:r>
        <w:rPr>
          <w:rFonts w:ascii="Times New Roman" w:cs="Times New Roman" w:eastAsia="Times New Roman" w:hAnsi="Times New Roman"/>
          <w:sz w:val="18"/>
          <w:szCs w:val="18"/>
          <w:color w:val="auto"/>
        </w:rPr>
        <w:t xml:space="preserve">”) of all or part of its Registrable Securities included by it on the Shelf Registration Statement, then, the Company shall amend or supplement the Shelf Registration Statement as may be necessary in order to enable such Registrable Securities to be distributed pursuant to the Shelf Underwritten Offering (taking into account the inclusion of Registrable Securities by any other holders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Non-Underwritten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may not, without the Company’s prior written consent, (i) launch a Shelf Underwritten Offering the anticipated gross cash proceeds of which shall be less than $25,000,000 (unless the Holders are proposing to sell all of their remaining Registrable Securities), (ii) launch more than two (2) Shelf Underwritten Offerings at the request of the Holders within any 365-day period or (iii) launch a Shelf Underwritten Offering within any Blackout Period. Each Investor shall be entitled to deliver an unlimited number of Take-Down Notices to effect a Non-Underwritten Shelf Take-Down with respect to the Registrable Securities held by each Investor in addition to the other registration rights provided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In connection with any Shelf Underwritten Offering:</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Company shall also as promptly as practicable within seven (7) calendar days deliver the Take-Down Notice to all other Holders with Registrable Securities included on such Shelf Registration Statement and permit each Holder to include its Registrable Securities included on the Shelf Registration Statement in the Shelf Underwritten Offering if such Holder notifies the Company (who shall notify each Investor) within two (2) business days after delivery of the Take-Down Notice to such Holder, provided that the Company shall not provide a Take-Down Notice to any other Holder in the case of a Block Sale by any Investor;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in the event that the underwriter advises the Company (who shall notify each Investor) in its good faith opinion that the total number or dollar amount of Registrable Securities proposed to be sold in such offering is such as to adversely affect the success of such offering (including an adverse effect on the per -share offering price), the underwriter may limit the number of shares which would otherwise be included in such Shelf Underwritten Offering in the same manner as described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a limitation of shares to be included in a registration.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xml:space="preserve">. If a requested registration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involves an underwritten offering, the investment banker(s) and manager(s) and lead investment banker(s) and manager(s) to administer the offering shall be chosen by the Investor (if the Investor is participating in the offering) or otherwise by the Holder(s) selling the largest number of Registrable Securities in such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Holder other than the Demand Party will sell at least 50% of the Registrable Securities proposed to be sold in such offering and the Investor is not participating in such offering, the investment banker(s) and manager(s) and lead investment banker(s) and manager(s) shall be chosen by such other Holder (such other Holder, if any, the “</w:t>
      </w:r>
      <w:r>
        <w:rPr>
          <w:rFonts w:ascii="Times New Roman" w:cs="Times New Roman" w:eastAsia="Times New Roman" w:hAnsi="Times New Roman"/>
          <w:sz w:val="18"/>
          <w:szCs w:val="18"/>
          <w:u w:val="single" w:color="auto"/>
          <w:color w:val="auto"/>
        </w:rPr>
        <w:t>Lead Holder</w:t>
      </w:r>
      <w:r>
        <w:rPr>
          <w:rFonts w:ascii="Times New Roman" w:cs="Times New Roman" w:eastAsia="Times New Roman" w:hAnsi="Times New Roman"/>
          <w:sz w:val="18"/>
          <w:szCs w:val="18"/>
          <w:color w:val="auto"/>
        </w:rPr>
        <w:t xml:space="preserve">”), subject to the approval of the Company (not to be unreasonably delayed or withheld). If the offering is underwritten, the right of any Holder to registration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will be conditioned upon such Holder’s participation in such underwriting and the inclusion of such Holder’s Registrable Securities in the underwriting (unless otherwise agreed by the Demand Party), and each such Holder will (together with the Company and the other Holders distributing their securities through such underwriting) enter into an underwriting agreement and lock-up agreement in customary form with the underwriter or underwriters selected for such underwriting (including pursuant to the terms of any over-allotment or “green shoe” option requested by the managing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 Holder shall be required to sell more than the number of Registrable Securities that such Holder has requested the Company to include in any registration and (y) if any Holder disapproves of the terms of the underwriting, such Holder may elect to withdraw prior to launching the applicable underwritten offering by written notice to the Company, the managing underwriter or underwriters and, in connection with an underwritten registration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the Demand Party.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Procedures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xml:space="preserve">. If and whenever the Company is required to use its reasonable best efforts to effect the registration of any Registrable Securities under the Securities Act as provided in </w:t>
      </w:r>
      <w:r>
        <w:rPr>
          <w:rFonts w:ascii="Times New Roman" w:cs="Times New Roman" w:eastAsia="Times New Roman" w:hAnsi="Times New Roman"/>
          <w:sz w:val="18"/>
          <w:szCs w:val="18"/>
          <w:u w:val="single" w:color="auto"/>
          <w:color w:val="auto"/>
        </w:rPr>
        <w:t>Articles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the Company shall effect such registration to permit the sale of such Registrable Securities in accordance with the intended method or methods of disposition thereof, and pursuant thereto the Company shall cooperate in the sale of the securities and shall, as expeditiously as possible: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prepare and file, in each case as promptly as practicable, with the SEC a Registration Statement or Registration Statements on such form as shall be available for the sale of the Registrable Securities by the Holders thereof or by the Company in accordance with the intended method or methods of distribution thereof, make all required filings with FINRA and use its reasonable best efforts to cause such Registration Statement to become effective as soon as practicable and to remain effective as provided herein; provided, however, that before filing a Registration Statement or Prospectus or any amendments or supplements thereto (including any free writing prospectuses under Rule 433 under the Securities Act (each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and including such documents that would be incorporated or deemed to be incorporated therein by reference), the Company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such counsel, and such other documents reasonably requested by such counsel, including any comment letter from the SEC, and, if requested by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The Company shall not file any such Registration Statement or Prospectus or any amendments or supplements thereto (including any Free Writing Prospectuses and including such documents that, upon filing, would be incorporated or deemed to be incorporated by reference therein other than any amendment or supplement through incorporation of any report filed under the Exchange Act) with respect to a Demand Registration to which the Demand Party, the Holders of a majority of the Registrable Securities covered by such Registration Statement, or their counsel, or the managing underwriters, if any, shall reasonably object, in writing, on a timely basis, unless, in the opinion of the Company, such filing is necessary to comply with applicable law;</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prepare and file with the SEC such amendments, post-effective amendments and supplements to each Registration Statement and the Prospectus used in connection therewith and such Free Writing Prospectuses and Exchange Act reports as may be necessary to keep such Registration Statement continuously effective during the period provided herein and comply in all material respects with the provisions of the Securities Act with respect to the disposition of all Registrable Securities covered by such Registration Statement; and cause the related Prospectus to be supplemented by any Prospectus supplement as may be necessary to comply with the provisions of the Securities Act with respect to the disposition of the Registrable Securities covered by such Registration Statement, and as so supplemented to be filed pursuant to Rule 424 (or any similar provisions then in force) under the Securities Act, in each case, until such time as all of such securities have been disposed of in accordance with the intended method or methods of disposition by the seller or sellers thereof set forth in such Registration Statement;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(c)               notify each selling Holder, its counsel and the managing underwriters, if any, promptly, and (if requested by any such Person) confirm such notice in writing, (i) when a Prospectus or any Prospectus supplement or post-effective amendment or any Free Writing Prospectus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a Registration Statement or the initiation of any proceedings for that purpose,</w:t>
      </w:r>
    </w:p>
    <w:p>
      <w:pPr>
        <w:spacing w:after="0" w:line="1" w:lineRule="exact"/>
        <w:rPr>
          <w:sz w:val="20"/>
          <w:szCs w:val="20"/>
          <w:color w:val="auto"/>
        </w:rPr>
      </w:pPr>
    </w:p>
    <w:p>
      <w:pPr>
        <w:jc w:val="both"/>
        <w:ind w:firstLine="8"/>
        <w:spacing w:after="0" w:line="250" w:lineRule="auto"/>
        <w:tabs>
          <w:tab w:leader="none" w:pos="31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Company has reason to believe that the representations and warranties of the Company contained in any agreement (including any underwriting agreement) contemplated by </w:t>
      </w:r>
      <w:r>
        <w:rPr>
          <w:rFonts w:ascii="Times New Roman" w:cs="Times New Roman" w:eastAsia="Times New Roman" w:hAnsi="Times New Roman"/>
          <w:sz w:val="18"/>
          <w:szCs w:val="18"/>
          <w:u w:val="single" w:color="auto"/>
          <w:color w:val="auto"/>
        </w:rPr>
        <w:t>Section 3.1(n)</w:t>
      </w:r>
      <w:r>
        <w:rPr>
          <w:rFonts w:ascii="Times New Roman" w:cs="Times New Roman" w:eastAsia="Times New Roman" w:hAnsi="Times New Roman"/>
          <w:sz w:val="18"/>
          <w:szCs w:val="18"/>
          <w:color w:val="auto"/>
        </w:rPr>
        <w:t xml:space="preserve"> below cease to be true and correct, (v) of the receipt by the Company of any notification with respect to the suspension of the qualification or exemption from qualification of any of the Registrable Securities for sale in any jurisdiction, or the initiation or threatening of any proceeding for such purpose, and (vi) of the happening of any event that makes any statement made in such Registration Statement, related Prospectus, Free Writing Prospectus, amendment or supplement thereto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use its reasonable best efforts to obtain the withdrawal of any order suspending the effectiveness of a Registration Statement, or the lifting of any suspension of the qualification (or exemption from qualification) of any of the Registrable Securities for sale in any jurisdiction at the earliest date reasonably practical;</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if requested by the managing underwriters, if any, the Demand Party with respect to the offering or the Holders of a majority of the then issued and outstanding Registrable Securities being sold in connection with an underwritten offering, promptly include in a Prospectus supplement or post-effective amendment such information as the managing underwriters, if any, or such Demand Party or Holders, as the case may be, may reasonably request in order to permit the intended method of distribution of such Registrable Securities and make all required filings of such Prospectus supplement or such post-effective amendment as soon as practicable after the Company has received such request; provided, however, that the Company shall not be required to take any actions under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that are not, in the opinion of counsel for the Company, in compliance with applicable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(f)                deliver to each selling Holder, its counsel, and the underwriters, if any, without charge, as many copies of the Prospectus or Prospectuses (including each form of Prospectus) and each amendment, supplement or post-effective amendment thereto as such Persons may reasonably request from time to time in connection with the distribution of the Registrable Securities; and the Company, subject to the last paragraph of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hereby consents to the use of such Prospectus and each amendment or supplement thereto by each of the selling Holders and the underwriters, if any, in connection with the offering and sale of the Registrable Securities covered by such Prospectus and any such amendment or supplement thereto;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(g)               prior to any public offering of Registrable Securities, use its reasonable best efforts to register or qualify or cooperate with the selling Holders, the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and to keep each such registration or qualification (or exemption therefrom) effective during the period such Registration Statement is required to be kept effective and to take any other action that may be necessary or advisable to enable such Holders to consummate the disposition of such Registrable Securities in such jurisdiction in accordance with the intended method or methods of disposition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required to (i) qualify generally to do business in any jurisdiction where it is not then so required to qualify but for this paragraph (g) or (ii) take any action that would subject it to general service of process in any such jurisdiction where it is not then so subject (other than service of process in connection with such registration or qualification or any sale of Registrable Securities in connection therewith);</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               cooperate with the selling Holders and the managing underwriters, if any, to facilitate the timely preparation and delivery of certificates (not bearing any legends) representing Registrable Securities to be sold after receiving written representations from each Holder of such Registrable Securities that the Registrable Securities represented by the certificates so delivered by such Holder will be transferred in accordance with the Registration Statement, and enable such Registrable Securities to be in such denominations and registered in such names as the managing underwriters, if any, or Holders may request;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                 use its reasonable best efforts to cause the Registrable Securities covered by the Registration Statement to be registered with or approved by such other governmental agencies or authorities within the United States as may be necessary in light of the business or operations of the Company to enable the seller or sellers thereof or the managing underwriters, if any, to consummate the disposition of such Registrable Securities, in accordance with the intended method or methods thereof, except as may be required solely as a consequence of the nature of such selling Holder’s business, in which case the Company will cooperate in all reasonable respects with the filing of such Registration Statement and the granting of such approvals, as may be necessary to enable the seller or sellers thereof or the underwriters, if any, to consummate the disposition of such Registrable Securities in accordance with the intended method or methods thereof;</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(j)                 upon the occurrence of any event contemplated by </w:t>
      </w:r>
      <w:r>
        <w:rPr>
          <w:rFonts w:ascii="Times New Roman" w:cs="Times New Roman" w:eastAsia="Times New Roman" w:hAnsi="Times New Roman"/>
          <w:sz w:val="17"/>
          <w:szCs w:val="17"/>
          <w:u w:val="single" w:color="auto"/>
          <w:color w:val="auto"/>
        </w:rPr>
        <w:t>Section 3.1(c)(vi)</w:t>
      </w:r>
      <w:r>
        <w:rPr>
          <w:rFonts w:ascii="Times New Roman" w:cs="Times New Roman" w:eastAsia="Times New Roman" w:hAnsi="Times New Roman"/>
          <w:sz w:val="17"/>
          <w:szCs w:val="17"/>
          <w:color w:val="auto"/>
        </w:rPr>
        <w:t xml:space="preserve">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light of the circumstances under which they were made, not misleading; provided, however, that the Company may defer such supplement or amendment for a period not to exceed sixty (60) days, not more than once in any 180-day period, for any of the reasons set forth in Section 2.4 </w:t>
      </w:r>
      <w:r>
        <w:rPr>
          <w:rFonts w:ascii="Times New Roman" w:cs="Times New Roman" w:eastAsia="Times New Roman" w:hAnsi="Times New Roman"/>
          <w:sz w:val="17"/>
          <w:szCs w:val="17"/>
          <w:u w:val="single" w:color="auto"/>
          <w:color w:val="auto"/>
        </w:rPr>
        <w:t>hereof</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(k)               prior to the effective date of the Registration Statement relating to the Registrable Securities, provide a CUSIP number for the Registrable Securities;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                 provide and cause to be maintained a transfer agent and registrar for all Registrable Securities covered by such Registration Statement from and after a date not later than the effective date of such Registration Statement (and in connection therewith, if reasonably required by the Company’s transfer agent, the Company will cause an opinion of counsel as to the effectiveness of the Registration Statement to be delivered to such transfer agent, together with any other authorizations, certificates and directions reasonably required by the transfer agent which authorize and direct the transfer agent to issue such Registrable Securities without any legend upon sale by the Holder or the underwriter or managing underwriter of an underwritten offering of Registrable Securities, if any, of such Registrable Securities under the Registration Statement);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             use its reasonable best efforts to cause all shares of Registrable Securities covered by such Registration Statement to be listed on the Nasdaq or other national securities exchange on which the Common Stock is then listed, prior to the effectiveness of such Registration Statement (or, if no Common Stock issued by the Company is then listed on any securities exchange, use its reasonable best efforts to cause such Registrable Securities to be so listed on the NYSE or Nasdaq, as determined by the Company);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(n)               enter into such agreements (including an underwriting agreement in form, scope and substance as is customary in underwritten offerings) and take all such other actions reasonably requested by the Demand Party or the Holders of a majority of the Registrable Securities being sold in connection therewith (including those reasonably requested by the managing underwriters, if any) to expedite or facilitate the disposition of such Registrable Securities, and in such connection, whether or not an underwriting agreement is entered into and whether or not the registration is an underwritten registration, (i) make such representations and warranties to the Holders of such Registrable Securities and the underwriters, if any, with respect to the business of the Company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requested, (ii) use its reasonable best efforts to furnish to the selling Holders and the underwriters, if any, opinions of outside counsel to the Company and updates thereof (which counsel and opinions (in form, scope and substance) shall be reasonably satisfactory to the managing underwriters, if any), addressed to each of the underwriters, if any, covering the matters customarily covered in opinions requested in underwritten offerings and such other matters as may be reasonably requested by such counsel and underwriters, (iii) use its reasonable best efforts to obtain “cold comfort” letters and updates thereof from the independent certified public accountants of the Company (and, if necessary, any other independent certified public accountants of any subsidiary of the Company or of any business acquired by the Company for which financial statements and financial data are, or are required to be, included in the Registration Statement) who have certified the financial statements included in such Registration Statement, addressed to each selling Holder (unless such accountants shall be prohibited from so addressing such letters by applicable standards of the accounting profession) and each of the underwriters, if any, such letters to be in customary form and covering matters of the type customarily covered in “cold comfort” letters in connection with underwritten offerings, (iv) if an underwriting agreement is entered into, the same shall contain indemnification provisions and procedures substantially to the effect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with respect to all parties to be indemnified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as otherwise agreed by the Holders and (v) deliver such documents and certificates as may be reasonably requested by the Demand Party, the Holders of a majority of the Registrable Securities being sold pursuant to such Registration Statement, its or their counsel or the managing underwriters, if any, to evidence the continued validity of the representations and warranties made pursuant to </w:t>
      </w:r>
      <w:r>
        <w:rPr>
          <w:rFonts w:ascii="Times New Roman" w:cs="Times New Roman" w:eastAsia="Times New Roman" w:hAnsi="Times New Roman"/>
          <w:sz w:val="18"/>
          <w:szCs w:val="18"/>
          <w:u w:val="single" w:color="auto"/>
          <w:color w:val="auto"/>
        </w:rPr>
        <w:t>Section 3.1(n)(i)</w:t>
      </w:r>
      <w:r>
        <w:rPr>
          <w:rFonts w:ascii="Times New Roman" w:cs="Times New Roman" w:eastAsia="Times New Roman" w:hAnsi="Times New Roman"/>
          <w:sz w:val="18"/>
          <w:szCs w:val="18"/>
          <w:color w:val="auto"/>
        </w:rPr>
        <w:t xml:space="preserve"> above and to evidence compliance with any customary conditions contained in the underwriting agreement or other agreement entered into by the Company. The above shall be done at each closing under such underwriting or similar agreement, or as and to the extent required thereunder;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(o)               make available for inspection by a representative of the selling Holders, any underwriter participating in any such disposition of Registrable Securities, if any, and any attorneys or accountants retained by such selling Holders or underwriter, at the offices where normally kept, during reasonable business hours, all financial and other records, pertinent corporate documents and properties of the Company and its subsidiaries, and cause the officers, directors and employees of the Company and its subsidiaries to supply all information in each case reasonably requested by any such representative, underwriter, attorney or accountant in connection with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information that is not generally publicly available at the time of delivery of such information shall be kept confidential by such Persons unless (i) disclosure of such information is required by court or administrative order, (ii) disclosure of such information, in the opinion of counsel to such Person, is required by law or applicable legal process, or (iii) such information becomes generally available to the public other than as a result of a disclosure or failure to safeguard by such Person. In the case of a proposed disclosure pursuant to (i) or (ii) above, such Person shall be required to give the Company written notice of the proposed disclosure prior to such disclosure and, if requested by the Company, assist the Company in seeking to prevent or limit the proposed disclosure. Without limiting the foregoing, no such information shall be used by such Person as the basis for any market transactions in securities of the Company or its subsidiaries in violation of law;</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               cause its officers, including its executive officers, to use their reasonable best efforts to support the marketing of the Registrable Securities covered by the Registration Statement (including, without limitation, participation in a reasonable number of “road shows” and other customary marketing activities in connection with an underwritten offering) taking into account the Company’s business needs;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(q)               cooperate with each seller of Registrable Securities and each underwriter or agent participating in the disposition of such Registrable Securities and their respective counsel in connection with any filings required to be made with FINRA;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                otherwise use its reasonable best efforts to comply with all applicable rules and regulations of the SEC, and make available to its security holders, as soon as reasonably practicable, an earnings statement covering the period of at least twelve (12) months beginning with the first day of the Company’s first full calendar quarter after the effective date of the Registration Statement, which earnings statement will satisfy the provisions of Section 11(a) of the Securities Act and Rule 158 thereunder.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Holder Information</w:t>
      </w:r>
      <w:r>
        <w:rPr>
          <w:rFonts w:ascii="Times New Roman" w:cs="Times New Roman" w:eastAsia="Times New Roman" w:hAnsi="Times New Roman"/>
          <w:sz w:val="18"/>
          <w:szCs w:val="18"/>
          <w:color w:val="auto"/>
        </w:rPr>
        <w:t>. The Company may require each Holder as to which any registration is being effected to furnish to the Company in writing such information required in connection with such registration regarding such seller and the distribution of such Registrable Securities as the Company may, from time to time, reasonably request in writing and the Company may exclude from such registration the Registrable Securities of any Holder who unreasonably fails to furnish such information within a reasonable time after receiving such request.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Company agrees not to file or make any amendment to any Registration Statement with respect to any Registrable Securities, or any amendment of or supplement to the Prospectus or any Free Writing Prospectus used in connection therewith, that refers to any Holder covered thereby by name, or otherwise identifies such Holder as the holder of any securities of the Company, without the consent of such Holder, such consent not to be unreasonably withheld or delayed, unless and to the extent such disclosure is required by law. If the Company is otherwise required to file an amendment to a Registration Statement pursuant hereto, and such amendment would identify any Holder by name or as the holder of any securities, and such Holder does not consent after being given reasonable opportunity, the Company may file the amendment and omit such Holder.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Other Holders</w:t>
      </w:r>
      <w:r>
        <w:rPr>
          <w:rFonts w:ascii="Times New Roman" w:cs="Times New Roman" w:eastAsia="Times New Roman" w:hAnsi="Times New Roman"/>
          <w:sz w:val="18"/>
          <w:szCs w:val="18"/>
          <w:color w:val="auto"/>
        </w:rPr>
        <w:t>. If the Company files any Shelf Registration Statement for the benefit of the holders of any of its securities other than the Holders, the Company agrees that it shall use its reasonable best efforts to include in such registration statement such disclosures as may be required by Rule 430B under the Securities Act (referring to the unnamed selling security holders in a generic manner by identifying the initial offering of the securities to the Holders), if the Company is then eligible to rely on Rule 430B, in order to ensure that such Holders may be added to such Shelf Registration Statement at a later time through the filing of a Prospectus supplement rather than a post-effective amendment.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xml:space="preserve">. Each Holder agrees if such Holder has Registrable Securities covered by such Registration Statement that,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3.1(c)(v)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3.1(c)(vi)</w:t>
      </w:r>
      <w:r>
        <w:rPr>
          <w:rFonts w:ascii="Times New Roman" w:cs="Times New Roman" w:eastAsia="Times New Roman" w:hAnsi="Times New Roman"/>
          <w:sz w:val="18"/>
          <w:szCs w:val="18"/>
          <w:color w:val="auto"/>
        </w:rPr>
        <w:t xml:space="preserve"> hereof, such Holder will forthwith discontinue disposition of such Registrable Securities covered by such Registration Statement or Prospectus until such Holder’s receipt of the copies of the supplemented or amended Prospectus contemplated by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hereof, or until it is advised in writing by the Company that the use of the applicable Prospectus may be resumed, and has received copies of any additional or supplemental filings that are incorporated or deemed to be incorporated by reference in such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time periods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with respect to the length of time that the effectiveness of a Registration Statement must be maintained shall automatically be extended by the amount of time the Holder is required to discontinue disposition of such securities.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without limitation as to time, indemnify and hold harmless, to the fullest extent permitted by law, each Holder whose Registrable Securities are covered by a Registration Statement or Prospectus, the officers, directors, partners, members, managers, shareholders, accountants, attorneys, agents and employees of each of them, each Person who controls each such Holder (within the meaning of Section 15 of the Securities Act or Section 20 of the Exchange Act) and the officers, directors, partners, members, managers, shareholders, accountants, attorneys, agents and employees of each such controlling person, each underwriter, if any, and each Person who controls (within the meaning of Section 15 of the Securities Act or Section 20 of the Exchange Act) such underwriter (each such person being referred to herein as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from and against any and all losses, claims, damages, liabilities, costs (including, without limitation,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based upon any untrue statement (or alleged untrue statement) of a material fact contained in any Prospectus, offering circular, or other document (including any related Registration Statement, notification, or the like or Free Writing Prospectus or any amendment thereof or supplement thereto or any document incorporated by reference therein) incident to any such registration, qualification, or compliance, or based on any omission (or alleged omission) to state therein a material fact required to be stated therein or necessary to make the statements therein not misleading, or any violation by the Company of the Securities Act, the Exchange Act, any state securities law, or any rule or regulation thereunder applicable to the Company and (without limitation of the preceding portions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will reimburse each such Covered Person for any legal and any other expenses reasonably incurred in connection with investigating and defending or settling any such Loss, provided that the Company will not be liable in any such case to the extent that any such Loss arises out of or is based on any untrue statement or omission by such Covered Person related to such Covered Person or its Affiliates (other than the Company or any of its subsidiaries, but only to the extent, that such untrue statement (or alleged untrue statement) or omission (or alleged omission) is made in such Registration Statement, Prospectus, offering circular, Free Writing Prospectus or any amendment thereof or supplement thereto, or any document incorporated by reference therein, or other document in reliance upon and in conformity with written information furnished to the Company by such Covered Person with respect to such Covered Person for use therein. It is agreed that the indemnity agreement contained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apply to amounts paid in settlement of any such Loss or action if such settlement is effected without the consent of the Company (which consent shall not be unreasonably delayed or withheld).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Indemnification by Holder</w:t>
      </w:r>
      <w:r>
        <w:rPr>
          <w:rFonts w:ascii="Times New Roman" w:cs="Times New Roman" w:eastAsia="Times New Roman" w:hAnsi="Times New Roman"/>
          <w:sz w:val="18"/>
          <w:szCs w:val="18"/>
          <w:color w:val="auto"/>
        </w:rPr>
        <w:t xml:space="preserve">. The Company may require, as a condition to including any Registrable Securities in any Registration Statement filed in accordance with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hereof, that the Company shall have received an undertaking reasonably satisfactory to it from the participating Holder of such Registrable Securities to indemnify, to the fullest extent permitted by law, severally and not jointly with any other Holders, the Company, its directors and officers and each Person who controls the Company (within the meaning of Section 15 of the Securities Act and Section 20 of the Exchange Act), from and against all Losses arising out of or based on any untrue statement of a material fact contained in any such Registration Statement, Prospectus, Free Writing Prospectus, offering circular, or other document, or any omission to state therein a material fact required to be stated therein or necessary to make the statements therein not misleading, and will (without limitation of the portions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reimburse the Company, such directors, officers and controlling persons for any legal or any other expenses reasonably incurred in connection with investigating or defending any such Loss, in each case to the extent, but only to the extent, that such untrue statement or omission is made in such Registration Statement, Prospectus, Free Writing Prospectus, offering circular, or other document in reliance upon and in conformity with written information furnished to the Company by such Holder with respect to such Holder for inclusion in such Registration Statement, Prospectus, offering circular or other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obligations of such Holder hereunder shall not apply to amounts paid in settlement of any such Losses (or actions in respect thereof) if such settlement is effected without the consent of such Holder (which consent shall not be unreasonably withheld);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liability of such Holder shall be individual, not joint and several, for each Holder and shall be limited to the aggregate gross proceeds (net of any underwriting commissions and discounts, but before deducting other expenses) received by such selling Holder from the sale of Registrable Securities covered by such Registration Statement, Prospectus, offering circular or other document containing such untrue statement (or alleged untrue statement) or omission (or alleged omission) (less the aggregate amount of any damages which such Holder has otherwise been required to pay in respect of such Loss or any substantially similar Loss arising from the sale of such Registrable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Person shall be entitled to indemnification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give prompt notice to the party from which such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of any claim or of the commencement of any proceeding with respect to which such Indemnified Party seeks indemnification or contribution pursuant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and indemnifying parties may exist in respect of such claim, assume, at the Indemnifying Party’s expense, the defense of any such claim or proceeding,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counsel and to assume the defense of such claim or proceeding at the Indemnifying Party’s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such defense is assumed by the Indemnifying Party, such Indemnifying Party will not be subject to any liability for any settlement made without its consent (but such consent will not be unreasonably delayed or withheld). Without the prior written consent of the Indemnified Party, the Indemnifying Party shall not consent to entry of any judgment or enter into any settlement that (x)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 or (y) involves the imposition of equitable remedies or the imposition of any obligations on the Indemnified Party or adversely affects such Indemnified Party other than as a result of financial obligations for which such Indemnified Party would be entitled to indemnification hereunder.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this Section 4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were determined by pro rata allocation or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method of allocation that does not take account of the equitable considerations referred to in the immediately preceding paragraph.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an Indemnifying Party that is a selling Holder shall not be required to contribute any amount in excess of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proceeds (net of any underwriting commissions and discounts, but before deducting other expenses) received by such Holder from the Registrable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sold pursuant to the Registration Statement which gives rise to such obligation to contribute (less the aggregate amount of any damages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has otherwise been required to pay in respect of such Loss or any substantially similar Loss arising from the sale of such Registrable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Securities Act) shall be entitled to contribution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 who was not guilty of such fraudulent misrepresentation. No selling Holder shall be liable for contribution under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except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circumstances as such selling Holder would have been liable for indemnification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if such indemnification were enforceable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offering are more favorable to the Holders than the foregoing provisions, the provisions in the underwriting agreement shall control.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Deemed Underwriter</w:t>
      </w:r>
      <w:r>
        <w:rPr>
          <w:rFonts w:ascii="Times New Roman" w:cs="Times New Roman" w:eastAsia="Times New Roman" w:hAnsi="Times New Roman"/>
          <w:sz w:val="18"/>
          <w:szCs w:val="18"/>
          <w:color w:val="auto"/>
        </w:rPr>
        <w:t xml:space="preserve">. To the extent that any of the Holders is, or would be expected to be, deemed to be an underwriter of Registrable Securities pursuant to any SEC comments or policies or any court of law or otherwise, the Company agrees that (i) the indemnification and contribution provisions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applicable to the benefit of such Holder in its role as deemed underwriter in addition to its capacity as a Holder (so long as the amount for which any other Holder is or becomes responsible does not exceed the amount for which such Holder would be responsible if the Holder were not deemed to be an underwriter of Registrable Securities) and (ii) such Holder and its representatives shall be entitled to conduct the due diligence which would normally be conducted in connection with an offering of securities registered under the Securities Act, including receipt of customary opinions and comfort letters.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Indemnification similar to that specified in the preceding provisions of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appropriate modifications) shall be given by the Company and each seller of Registrable Securities with respect to any required registration or other qualification of securities under any federal or state law or regulation or governmental authority other than the Securities Act.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xml:space="preserve">. The obligations of the parties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in addition to any liability which any party may otherwise have to any other party.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Registration Expenses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All reasonable fees and expenses incident to the performance of or compliance with this Agreement by the Company (including, without limitation, (i) all registration and filing fees (including, without limitation, fees and expenses (A) with respect to filings required to be made with the SEC, NYSE, FINRA or the National Association of Securities Dealers, Inc. and (B) of compliance with securities or Blue Sky laws, including, without limitation, any fees and disbursements of counsel for the underwriters in connection with Blue Sky qualifications of the Registrable Securities pursuant to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 xml:space="preserve">), (ii) printing expenses (including, without limitation, expenses of printing certificates for Registrable Securities in a form eligible for deposit with The Depository Trust Company and of printing Prospectuses if the printing of Prospectuses is requested by the managing underwriters, if any, the Demand Party or by the Holders of a majority of the Registrable Securities included in any Registration Statement), (iii) messenger, telephone and delivery expenses of the Company, (iv) fees and disbursements of counsel for the Company, (v) expenses of the Company incurred in connection with any road show (but not, for the avoidance of doubt, expenses of the Holders in connection with any road show), (vi) fees and disbursements of all independent certified public accountants referred to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 xml:space="preserve"> hereof (including, without limitation, the expenses of any “cold comfort” letters required by this Agreement) and any other persons, including special experts retained by the Company and (vii) reasonable and documented fees and disbursements of one counsel for the Holders in connection with a Demand Registration for an underwritten offering or a Shelf Underwritten Offering, not to exceed $50,000 (which counsel shall be selected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shall be borne by the Company whether or not any Registration Statement is filed or becomes effective and/or the Shelf Underwritten Offering is consummated, as applicable. In addition, the Company shall pay its internal expenses (including, without limitation, all salaries and expenses of its officers and employees performing legal or accounting duties), the expense of any annual audit, the fees and expenses incurred in connection with the listing of the securities to be registered on Nasdaq or such other national securities exchange on which the Common Stock is listed and rating agency fees and the fees and expenses of any Person, including special experts, retained by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not be required to pay (i) fees and disbursements of any counsel retained by any Holder or by any underwriter (except as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pursuant to the underwriting agreement entered into in connection with such offering), (ii) any underwriter’s fees (including discounts, commissions or fees of underwriters, selling brokers, dealer managers or similar securities industry professionals) relating to the distribution of the Registrable Securities (other than with respect to Registrable Securities sold by the Company), or (iii) any other expenses of the Holders not specifically required to be paid by the Company pursuant to the first paragraph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144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The Company covenants that it will use reasonable best efforts to file the reports required to be filed by it under the Securities Act and the Exchange Act and the rules and regulations adopted by the SEC thereunder (or, if the Company is not required to file such reports, it will, upon the request of any Demand Party, make publicly available such information so long as necessary to permit sales of Registrable Securities pursuant to Rule 144), and it will take such further action as any Holder (or, if the Company is not required to file reports as provided above, any Demand Party) may reasonably request, all to the extent required from time to time to enable such Holder to sell shares of Registrable Securities without registration under the Securities Act within the limitation of the exemptions provided by (i) Rule 144 under the Securities Act, as such Rule may be amended from time to time, or (ii) any similar rule or regulation hereafter adopted by the SEC. Upon the request of any Holder, the Company will deliver to such Holder a written statement as to whether it has complied with such requirements and, if not, the specific requirements with which it did not so comply. Notwithstanding anything contained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Company may deregister under Section 12 of the Exchange Act if it then is permitted to do so pursuant to the Exchange Act and the rules and regulations thereunder.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Selection of Counsel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Selection of Counsel</w:t>
      </w:r>
      <w:r>
        <w:rPr>
          <w:rFonts w:ascii="Times New Roman" w:cs="Times New Roman" w:eastAsia="Times New Roman" w:hAnsi="Times New Roman"/>
          <w:sz w:val="18"/>
          <w:szCs w:val="18"/>
          <w:color w:val="auto"/>
        </w:rPr>
        <w:t>. In connection with any Demand Registration for an underwritten offering or Shelf Underwritten Offering for which the Company is obligated to provide expense reimbursement pursuant to Section 5.1(vii), if any Investor is participating in such registration or offering, the participating Investors holding a majority of the Registrable Securities covered by such registration or offering may select one counsel to represent them and all other Holders participating in such registration or offering, and if none of the Investors is participating in such registration or offering, the Holders of a majority of the Registrable Securities covered by any such registration or offering may select one counsel to represent such Holders covered by such registration or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Holdback Agreement</w:t>
      </w:r>
      <w:r>
        <w:rPr>
          <w:rFonts w:ascii="Times New Roman" w:cs="Times New Roman" w:eastAsia="Times New Roman" w:hAnsi="Times New Roman"/>
          <w:sz w:val="18"/>
          <w:szCs w:val="18"/>
          <w:color w:val="auto"/>
        </w:rPr>
        <w:t xml:space="preserve">. In consideration for the Company agreeing to its obligations under this Agreement, each Holder agrees in connection with any underwritten offering of the Company’s securities with respect to which the Company has complied with its obligations under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as applicable (whether or not such Holder is participating in such offering) upon the request of the underwriters managing any such underwritten offering, not to effect (other than pursuant to such offering) any public sale or distribution of Registrable Securities, including, but not limited to, any sale pursuant to Rule 144, or make any short sale of, grant any option for the purchase of, or otherwise dispose of any Registrable Securities, any other equity securities of the Company or any securities convertible into or exchangeable or exercisable for any equity securities of the Company, in each case without the prior written consent of such underwriters and subject to customary exceptions, during the Holdback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prevent (i) any Holder that is a partnership or corporation from making a transfer to an Affiliate that is otherwise in compliance with applicable securities laws, (ii) any pledge of Registrable Securities by a Holder or (iii) any foreclosure or transfer in lieu of a foreclosure thereunder, in each case that is otherwise in compliance with applicable securities laws. Notwithstanding the foregoing, any discretionary waiver or termination of this holdback provision by such underwriters with respect to any of the Holders shall apply to the other Holders as well, pro rata based upon the number of shares subject to such obligations.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any registration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shall be in connection with any underwritten public offering, if requested by the managing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or underwriters, the Company will not effect any public sale or distribution of any common equity (or securities convertible into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or exercisable for common equity) (other than (i) a registration statement on Form S-4, Form S-8 or any successor forms thereto, (ii)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filed solely in connection with an exchange offer or any employee benefit or dividend reinvestment plan or (iii) sales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at-the-market or similar open market sales program whereby the Company sells securities into an existing trading market from time to time at other than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price) for its own account, during the Holdback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without the written consent of each of the Company and the Holders of a majority of the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any amendment, modification, supplement, waiver or consent to departures from the provisions of this Agreement that would subject a Stockholder to adverse differential treatment relative to the other Stockholders shall require the agreement of the differentially treated Stockholder and (y) any amendment, modification, supplement, waiver or consent to departures from the provisions of this Agreement that would be adverse to a right specifically granted to a specific Stockholder herein (but not to other Stockholders) shall require the agreement of that Stockholder. Notwithstanding the foregoing, a waiver or consent to depart from the provisions hereof with respect to a matter that relates exclusively to the rights of Holders whose securities are being sold pursuant to a Registration Statement and that does not directly or indirectly affect the rights of other Holders may be given by Holders of at least a majority of the Registrable Securities being sold by such Holders pursuant to such Registration Statement.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Successors, Assigns and Transferees</w:t>
      </w:r>
      <w:r>
        <w:rPr>
          <w:rFonts w:ascii="Times New Roman" w:cs="Times New Roman" w:eastAsia="Times New Roman" w:hAnsi="Times New Roman"/>
          <w:sz w:val="18"/>
          <w:szCs w:val="18"/>
          <w:color w:val="auto"/>
        </w:rPr>
        <w:t xml:space="preserve">. This Agreement shall be binding upon and shall inure to the benefit of the parties hereto and their respective successors and permitted assigns. The provisions of this Agreement which are for the benefit of the parties hereto other than the Company may be transferred or assigned to any Person in connection with a transfer of Series A Preferred Stock or Common Stock issued upon conversion of the Series A Preferred Stock to such Person 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prior written notice of such assignment of rights is given to the Company and (ii) such transferee agrees in writing to be bound by, and subject to, this Agreement as a “Holder” pursuant to a written instrument in form and substance reasonably acceptable to the Company. Except as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an Indemnified Party, nothing expressed or mentioned in this Agreement is intended or shall be construed to give any Person other than the parties hereto and their respective successors and permitted assigns any legal or equitable right, remedy or claim under, or in respect of this Agreement or any provision herein contained.</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by facsimile (which is confirmed), emailed (which is confirmed, including automated return receipt) or sent by overnight courier (providing proof of delivery) to the parties at the following addresses: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to the Company, to it 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2300 Hallock Young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Lordstown, OH 44481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CEO and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127 Public Square, Suite 2000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Cleveland, Ohio 44114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Ronald Stepanovic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If to the Investor,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Foxconn Ventures Ptd. Ltd.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Hon Hai Precision Industry Co., Ltd.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66, Zhongshan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Tucheng Industrial Zone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Tucheng District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Taipei City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23680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Taiwan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Jerry Hsiao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9" w:name="page130"/>
    <w:bookmarkEnd w:id="129"/>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Mike F. Huang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address, email address or facsimile number as such party may hereafter specify by like notice to the other parties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any other Holder of Registrable Securities, to the e-mail or physical address of such other Holder as shown in the stock record book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shall provide the Company with an updated e-mail address or physical address if such address changes by notice to the Company. The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or physical address shown on the stock record books of the Company shall be presumed to be current for purposes of giving any notice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of terms contained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facsimile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 This Agreement and all matters, claims or Actions (whether at law, in equity, in Contract, in tort or otherwise) based upon, arising out of or relating to this Agreement or the negotiation, execution or performance of this Agreement (collectively, the “</w:t>
      </w:r>
      <w:r>
        <w:rPr>
          <w:rFonts w:ascii="Times New Roman" w:cs="Times New Roman" w:eastAsia="Times New Roman" w:hAnsi="Times New Roman"/>
          <w:sz w:val="18"/>
          <w:szCs w:val="18"/>
          <w:u w:val="single" w:color="auto"/>
          <w:color w:val="auto"/>
        </w:rPr>
        <w:t>Relevant Matters</w:t>
      </w:r>
      <w:r>
        <w:rPr>
          <w:rFonts w:ascii="Times New Roman" w:cs="Times New Roman" w:eastAsia="Times New Roman" w:hAnsi="Times New Roman"/>
          <w:sz w:val="18"/>
          <w:szCs w:val="18"/>
          <w:color w:val="auto"/>
        </w:rPr>
        <w:t>”), shall be governed by, and construed in accordance with, the laws of the State of Delaware, regardless of the laws that might otherwise govern under any applicable conflict of Laws principles.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All actions arising out of or relating to any Relevant Matter shall be heard and determined in the Chancery Court of the State of Delaware (or, if the Chancery Court of the State of Delaware declines to accept jurisdiction over any action, any state or federal court within the State of Delaware)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of this Agreement. The parties hereto hereby waive any right to stay or dismiss any action or proceeding in connection with any Relevant Matter brought before the foregoing courts on the basis of (i) any claim that it is not personally subject to the jurisdiction of the above-named courts for any reason or that it or any of 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The parties hereto agree that a final judgment in any such action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a final trial court judgment.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that money damages would not be an adequate remedy in the event that any of the covenants or agreements in this Agreement are not performed in accordance with its terms, and it is therefore agreed that in addition to and without limiting any other remedy or right it may have, the non-breaching party will have the right to an injunction, temporary restraining order or other equitable relief in any court of competent jurisdiction enjoining any such breach and enforcing specifically the terms and provisions 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provisions of this Agreement (other than </w:t>
      </w:r>
      <w:r>
        <w:rPr>
          <w:rFonts w:ascii="Times New Roman" w:cs="Times New Roman" w:eastAsia="Times New Roman" w:hAnsi="Times New Roman"/>
          <w:sz w:val="18"/>
          <w:szCs w:val="18"/>
          <w:u w:val="single" w:color="auto"/>
          <w:color w:val="auto"/>
        </w:rPr>
        <w:t>Articles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shall terminate upon the earliest to occur of (i) its termination by the written agreement of all parties hereto or their respective successors in interest, (ii) the date on which all shares of Common Stock and Series A Preferred Stock have ceased to be Registrable Securities, (iii) the dissolution, liquidation or winding up of the Company, and (iv) concurrently with the consummation of a Change of Control (as defined in the Certificate of Designations). Nothing herein shall relieve any party from any liability for the breach of any of the agreements set forth in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No Inconsistent Agreements; Most Favored Nations</w:t>
      </w:r>
      <w:r>
        <w:rPr>
          <w:rFonts w:ascii="Times New Roman" w:cs="Times New Roman" w:eastAsia="Times New Roman" w:hAnsi="Times New Roman"/>
          <w:sz w:val="18"/>
          <w:szCs w:val="18"/>
          <w:color w:val="auto"/>
        </w:rPr>
        <w:t xml:space="preserve">. The Company shall not hereafter enter into any agreement with respect to its securities that is inconsistent with or violates the rights granted to the Holders of Registrable Securities in this Agreement. In the event that the Company desires to enter into any agreement with any Person, including any holder or prospective holder of any securities of the Company, giving or granting any registration (or related) rights the terms of which are more favorable than or senior to the registration or other rights granted to the Holders of Registrable Securities hereunder, then (i) the Company shall provide prior written notice thereof to the Holders of Registrable Securities and (ii) upon execution by the Company of such other agreement, the terms and conditions of this Agreement shall be, without any further action by the Holders or the Company, automatically amended and modified in an economically and legally equivalent manner such that the Holders shall receive the benefit of the more favorable terms and/or conditions (as the case may be) set forth in such other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written notice to the Company at any time, any Holder may elect not to accept the benefit of any such amended or modified term or condition, in which event the term or condition contained in this Agreement shall apply to such Holder as it was in effect immediately prior to such amendment or modification as if such amendment or modification never occurred with respect to such Holder.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ind w:left="4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above written.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154305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133" w:name="page134"/>
    <w:bookmarkEnd w:id="133"/>
    <w:p>
      <w:pPr>
        <w:ind w:left="4520"/>
        <w:spacing w:after="0"/>
        <w:rPr>
          <w:sz w:val="20"/>
          <w:szCs w:val="20"/>
          <w:color w:val="auto"/>
        </w:rPr>
      </w:pPr>
      <w:r>
        <w:rPr>
          <w:rFonts w:ascii="Times New Roman" w:cs="Times New Roman" w:eastAsia="Times New Roman" w:hAnsi="Times New Roman"/>
          <w:sz w:val="17"/>
          <w:szCs w:val="17"/>
          <w:b w:val="1"/>
          <w:bCs w:val="1"/>
          <w:color w:val="auto"/>
        </w:rPr>
        <w:t>FOXCONN VENTURES PTE. LTD.</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161925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color w:val="auto"/>
        </w:rPr>
        <w:t>1.                  The following capitalized terms have the meanings indicated: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means public disclosure of material non-public information that, in the good faith judgment of the Company: (i) would be required to be made in any Registration Statement filed with the SEC by the Company so that such Registration Statement would not be materially misleading; (ii) would not be required to be made at such time but for the filing, effectiveness or continued use of such Registration Statement; and (iii) the Company has a bona fide business purpose for not disclosing publicly.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as-converted basis</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are authorized or required by law to be closed.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Turndown</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statute thereto, and the rules and regulations of the SEC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Period</w:t>
      </w:r>
      <w:r>
        <w:rPr>
          <w:rFonts w:ascii="Times New Roman" w:cs="Times New Roman" w:eastAsia="Times New Roman" w:hAnsi="Times New Roman"/>
          <w:sz w:val="18"/>
          <w:szCs w:val="18"/>
          <w:color w:val="auto"/>
        </w:rPr>
        <w:t>” means the period commencing on the date of an underwriters’ request (which shall be no earlier than four (4) Business Days prior to the expected “pricing” of the related underwritten offering) and continuing for not more than ninety (90) calendar days after the date of the final prospectus (or final prospectus supplement if the offering is made pursuant to a shelf registration), pursuant to which such underwritten offering shall be made, or such lesser period as is required by such underwriters (which shall also apply equally to all Holders).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any Stockholder holding Registrable Securities.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trust, unincorporated organization or any other entity, including a governmental authority.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(including, without limitation, a prospectus that discloses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 or the automatic effectiveness of such Registration Statement, as applicable.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as of any date of determination, any shares of Common Stock issued pursuant to the Investment Agreement and any shares of Common Stock issued or issuable pursuant to the conversion of any shares of Series A Preferred Stock, and any other securities issued or issuable with respect to any such shares of Common Stock by way of share split, share dividend, distribution, recapitalization, merger, exchange, replacement or similar event or otherwise. As to any particular Registrable Securities, once issued, such securities shall cease to be Registrable Securities when (i) they are sold pursuant to an effective Registration Statement under the Securities Act, (ii) they are sold pursuant to Rule 144 (or other exemption from registration under the Securities Act), (iii) in the case of any shares of Common Stock held by a Holder, all shares of Common Stock held by such Holder, on an as converted basis, constitute less than 1% of all outstanding shares of Common Stock and may be sold in a single day pursuant to, and in accordance with, subsection (k) of Rule 144, (iv) they shall have ceased to be outstanding or (v) they have been sold in a private transaction in which the transferor’s rights under this Agreement are not assigned to the transferee of the securities.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the SEC under the Securities Act which covers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 and any successor provision.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statute thereto, and the rules and regulations of the SEC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Common Closing</w:t>
      </w:r>
      <w:r>
        <w:rPr>
          <w:rFonts w:ascii="Times New Roman" w:cs="Times New Roman" w:eastAsia="Times New Roman" w:hAnsi="Times New Roman"/>
          <w:sz w:val="18"/>
          <w:szCs w:val="18"/>
          <w:color w:val="auto"/>
        </w:rPr>
        <w:t>” shall have the meaning given to such term in the Investment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shall have the meaning given to such term in the Investment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following terms are defined in the Sections of the Agreement indicated: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8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INDEX OF TERMS</w:t>
            </w:r>
          </w:p>
        </w:tc>
        <w:tc>
          <w:tcPr>
            <w:tcW w:w="5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16"/>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4"/>
        </w:trPr>
        <w:tc>
          <w:tcPr>
            <w:tcW w:w="2360" w:type="dxa"/>
            <w:vAlign w:val="bottom"/>
          </w:tcPr>
          <w:p>
            <w:pPr>
              <w:spacing w:after="0"/>
              <w:rPr>
                <w:sz w:val="16"/>
                <w:szCs w:val="16"/>
                <w:color w:val="auto"/>
              </w:rPr>
            </w:pPr>
          </w:p>
        </w:tc>
        <w:tc>
          <w:tcPr>
            <w:tcW w:w="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2"/>
              </w:rPr>
              <w:t>Term</w:t>
            </w:r>
          </w:p>
        </w:tc>
        <w:tc>
          <w:tcPr>
            <w:tcW w:w="4080" w:type="dxa"/>
            <w:vAlign w:val="bottom"/>
          </w:tcPr>
          <w:p>
            <w:pPr>
              <w:spacing w:after="0"/>
              <w:rPr>
                <w:sz w:val="16"/>
                <w:szCs w:val="16"/>
                <w:color w:val="auto"/>
              </w:rPr>
            </w:pPr>
          </w:p>
        </w:tc>
        <w:tc>
          <w:tcPr>
            <w:tcW w:w="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6"/>
              </w:rPr>
              <w:t>Section</w:t>
            </w:r>
          </w:p>
        </w:tc>
        <w:tc>
          <w:tcPr>
            <w:tcW w:w="3880" w:type="dxa"/>
            <w:vAlign w:val="bottom"/>
          </w:tcPr>
          <w:p>
            <w:pPr>
              <w:spacing w:after="0"/>
              <w:rPr>
                <w:sz w:val="16"/>
                <w:szCs w:val="16"/>
                <w:color w:val="auto"/>
              </w:rPr>
            </w:pPr>
          </w:p>
        </w:tc>
      </w:tr>
      <w:tr>
        <w:trPr>
          <w:trHeight w:val="434"/>
        </w:trPr>
        <w:tc>
          <w:tcPr>
            <w:tcW w:w="23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Shelf Registration Statement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Sale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Person</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Demanding Follow-up Notice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Notice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Party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 Registration</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Writing Prospectus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Agreement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Holder</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2.7</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Non-Underwritten Shelf Take-Down</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Postponement Period</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2.4</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Relevant Matters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8.8</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Registration Statement</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2.5(a)</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Shelf Underwritten Offering</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3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Take-Down Notice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w:t>
            </w:r>
          </w:p>
        </w:tc>
      </w:tr>
      <w:tr>
        <w:trPr>
          <w:trHeight w:val="234"/>
        </w:trPr>
        <w:tc>
          <w:tcPr>
            <w:tcW w:w="23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WKSI</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2.5(b)</w:t>
            </w:r>
          </w:p>
        </w:tc>
      </w:tr>
      <w:tr>
        <w:trPr>
          <w:trHeight w:val="432"/>
        </w:trPr>
        <w:tc>
          <w:tcPr>
            <w:tcW w:w="2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9"/>
              </w:rPr>
              <w:t>A-3</w:t>
            </w:r>
          </w:p>
        </w:tc>
        <w:tc>
          <w:tcPr>
            <w:tcW w:w="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688"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167640</wp:posOffset>
            </wp:positionV>
            <wp:extent cx="3368675" cy="4629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86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Lordstown Motors and Foxconn Broaden Strategic Partnership</w:t>
      </w:r>
    </w:p>
    <w:p>
      <w:pPr>
        <w:spacing w:after="0" w:line="229" w:lineRule="exact"/>
        <w:rPr>
          <w:sz w:val="20"/>
          <w:szCs w:val="20"/>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Foxconn to invest up to $170 million in Lordstown Motors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Plans to Pursue First Joint EV Program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LORDSTOWN, Ohio, November 7, 2022 (GLOBE NEWSWIRE) -- Lordstown Motors Corp. (“Lordstown Motors” or “LMC”) (Nasdaq: RIDE), an original equipment manufacturer of electric vehicles focused on the commercial fleet market, and Foxconn Ventures PTE. LTD, an affiliate of global technology company Hon Hai Technology Group (“Foxconn”) (TWSE: 2317), today announced that they reached an agreement pursuant to which Foxconn agreed to make additional equity investments in LMC (collectively, the “Investment Transactions”) in the form of $70 million of LMC’s Class A common stock, $0.0001 par value per share (the “Common Stock”), and up to $100 million of a newly created Series A Convertible Preferred Stock, $0.0001 par value per share (the “Preferred Stock,” and together with the Common Stock, the “Securities”). Upon completion of the Investment Transactions, Foxconn is expected to hold all of LMC’s outstanding Preferred Stock and 18.3% of its Common Stock on a pro-forma basis, and will have the right to designate two members of LMC’s Board of Directors.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Lordstown Motors will use the proceeds from the sale of the Common Stock for general corporate purposes and the proceeds from the sale of the Preferred Stock to fund development and design activities for a new electric vehicle program in collaboration with Foxconn (the “EV Program”). The $100 million direct Preferred Stock investment replaces the joint venture funding previously announced by Foxconn and LMC.</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agreements governing the Investment Transactions, at an initial closing expected to be held on or about November 22, 2022 (the “Initial Closing”), subject to customary conditions, Foxconn will purchase an aggregate of approximately 12.9 million shares of Common Stock at a purchase price of $1.76 per share, resulting in total proceeds of $22.7 million, and 300,000 shares of Preferred Stock at a purchase price of $100 per share, resulting in total proceeds of $30 million. The remaining shares of Preferred Stock will be purchased by Foxconn based on achieving certain EV Program funding milestones to be agreed-upon by the parties. Following receipt of applicable regulatory approvals, including a review by the Committee on Foreign Investment in the United States (“CFIUS”), and subject to other customary conditions, Foxconn will purchase an additional 26.9 million shares of Common Stock at a purchase price of $1.76 per share, resulting in total proceeds of approximately $47.3 million (the “Subsequent Common Closing”). Pursuant to the transaction agreements, Foxconn has also been granted the right to participate in future equity offerings by LMC to prevent dilution of its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The agreements governing the Investment Transactions provide, among other things, that:</w:t>
      </w:r>
    </w:p>
    <w:p>
      <w:pPr>
        <w:spacing w:after="0" w:line="223" w:lineRule="exact"/>
        <w:rPr>
          <w:sz w:val="20"/>
          <w:szCs w:val="20"/>
          <w:color w:val="auto"/>
        </w:rPr>
      </w:pPr>
    </w:p>
    <w:p>
      <w:pPr>
        <w:ind w:left="660" w:right="20" w:hanging="328"/>
        <w:spacing w:after="0" w:line="254"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Rights and Limitations: </w:t>
      </w:r>
      <w:r>
        <w:rPr>
          <w:rFonts w:ascii="Times New Roman" w:cs="Times New Roman" w:eastAsia="Times New Roman" w:hAnsi="Times New Roman"/>
          <w:sz w:val="18"/>
          <w:szCs w:val="18"/>
          <w:color w:val="auto"/>
        </w:rPr>
        <w:t>Upon certain terms and conditions, Foxconn can convert the Preferred Stock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LMC can force a conversion of the Preferred Stock into shares of Common Stock, in each case, at a conversion price of $1.936, subject to customary adjustments. Conversion of the Preferred Stock is subject to the following ownership limitations (the “Ownership Limitations”): the Preferred Stock cannot be converted if Foxconn would own in excess of 9.99% of LMC’s outstanding Common Stock at any time prior to CFIUS clearance and the Subsequent Common Closing, or 19.99% of LMC’s outstanding Common Stock at any time prior to LMC obtaining stockholder approval.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 and Limitations</w:t>
      </w:r>
      <w:r>
        <w:rPr>
          <w:rFonts w:ascii="Times New Roman" w:cs="Times New Roman" w:eastAsia="Times New Roman" w:hAnsi="Times New Roman"/>
          <w:sz w:val="18"/>
          <w:szCs w:val="18"/>
          <w:color w:val="auto"/>
        </w:rPr>
        <w:t>: The Preferred Stock is generally entitled to vote with the Common Stock as a single class on an as-converted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Foxconn is not entitled to vote its Preferred Stock to the extent that Foxconn would have the right to vote in respect of its Common Stock, Preferred Stock, or other capital stock an amount that would exceed the Ownership Limitations.</w:t>
      </w:r>
    </w:p>
    <w:p>
      <w:pPr>
        <w:spacing w:after="0" w:line="1" w:lineRule="exact"/>
        <w:rPr>
          <w:rFonts w:ascii="Times New Roman" w:cs="Times New Roman" w:eastAsia="Times New Roman" w:hAnsi="Times New Roman"/>
          <w:sz w:val="18"/>
          <w:szCs w:val="18"/>
          <w:color w:val="auto"/>
        </w:rPr>
      </w:pPr>
    </w:p>
    <w:p>
      <w:pPr>
        <w:ind w:left="660" w:right="220" w:hanging="328"/>
        <w:spacing w:after="0" w:line="265" w:lineRule="auto"/>
        <w:tabs>
          <w:tab w:leader="none" w:pos="6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Standstill</w:t>
      </w:r>
      <w:r>
        <w:rPr>
          <w:rFonts w:ascii="Times New Roman" w:cs="Times New Roman" w:eastAsia="Times New Roman" w:hAnsi="Times New Roman"/>
          <w:sz w:val="17"/>
          <w:szCs w:val="17"/>
          <w:color w:val="auto"/>
        </w:rPr>
        <w:t>: Until at least December 31, 2024, without approval of LMC’s Board of Directors, Foxconn is prohibited from acquiring any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of LMC if after any such acquisition Foxconn and its affiliates would own in excess of the following amounts of LMC’s voting stock:</w:t>
      </w:r>
    </w:p>
    <w:p>
      <w:pPr>
        <w:ind w:left="980" w:right="39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 9.99%, at any time prior to CFIUS clearance and the Subsequent Common Closing; o 19.99%, at any time prior to LMC obtaining stockholder approval;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   24%, at all times following the Subsequent Common Closing and after receipt of the requisite stockholder approval.</w:t>
      </w:r>
    </w:p>
    <w:p>
      <w:pPr>
        <w:spacing w:after="0" w:line="9" w:lineRule="exact"/>
        <w:rPr>
          <w:rFonts w:ascii="Times New Roman" w:cs="Times New Roman" w:eastAsia="Times New Roman" w:hAnsi="Times New Roman"/>
          <w:sz w:val="17"/>
          <w:szCs w:val="17"/>
          <w:color w:val="auto"/>
        </w:rPr>
      </w:pPr>
    </w:p>
    <w:p>
      <w:pPr>
        <w:ind w:left="660" w:right="100" w:hanging="328"/>
        <w:spacing w:after="0" w:line="250"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Representation</w:t>
      </w:r>
      <w:r>
        <w:rPr>
          <w:rFonts w:ascii="Times New Roman" w:cs="Times New Roman" w:eastAsia="Times New Roman" w:hAnsi="Times New Roman"/>
          <w:sz w:val="18"/>
          <w:szCs w:val="18"/>
          <w:color w:val="auto"/>
        </w:rPr>
        <w:t>: Foxconn will have the right to appoint two designees to LMC’s Board of Directors after receiving CFIUS clearance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Subsequent Common Closing. Foxconn will relinquish its Board seats if it does not maintain a certain level of ownership of LMC’s capital stock.</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 Until at least December 31, 2024, Foxconn has agreed to vote all of its shares of Common Stock and Preferred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then entitled to vote) in favor of each director recommended by the Board and in accordance with any recommendation of the Board on all other proposals (other than any action related to any merger or business combination or other change of control transaction or sale of assets).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Participation Rights</w:t>
      </w:r>
      <w:r>
        <w:rPr>
          <w:rFonts w:ascii="Times New Roman" w:cs="Times New Roman" w:eastAsia="Times New Roman" w:hAnsi="Times New Roman"/>
          <w:sz w:val="18"/>
          <w:szCs w:val="18"/>
          <w:color w:val="auto"/>
        </w:rPr>
        <w:t>: Following the Subsequent Common Closing, other than with respect to certain excluded issuances, Foxconn has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securities offerings proposed to be made by LMC, provided, that LMC is not required to sell Foxconn securities if LMC would be required to obtain stockholder approval under any applicable law or regulation.</w:t>
      </w:r>
    </w:p>
    <w:p>
      <w:pPr>
        <w:spacing w:after="0" w:line="1" w:lineRule="exact"/>
        <w:rPr>
          <w:rFonts w:ascii="Times New Roman" w:cs="Times New Roman" w:eastAsia="Times New Roman" w:hAnsi="Times New Roman"/>
          <w:sz w:val="18"/>
          <w:szCs w:val="18"/>
          <w:color w:val="auto"/>
        </w:rPr>
      </w:pPr>
    </w:p>
    <w:p>
      <w:pPr>
        <w:ind w:left="660" w:right="120" w:hanging="328"/>
        <w:spacing w:after="0" w:line="290" w:lineRule="auto"/>
        <w:tabs>
          <w:tab w:leader="none" w:pos="6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Existing JV Arrangement</w:t>
      </w:r>
      <w:r>
        <w:rPr>
          <w:rFonts w:ascii="Times New Roman" w:cs="Times New Roman" w:eastAsia="Times New Roman" w:hAnsi="Times New Roman"/>
          <w:sz w:val="17"/>
          <w:szCs w:val="17"/>
          <w:color w:val="auto"/>
        </w:rPr>
        <w:t>: LMC and Foxconn have agreed to terminate the existing joint venture arrangement between Lordstown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 Corporation and Foxconn EV Technology, Inc. The EV Program and future vehicle development are expected to take place within LMC.</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Daniel Ninivaggi, Executive Chairman of LMC commented, “Since announcing our first transaction with Foxconn more than a year ago, it has been our objective to develop a broad strategic partnership that leverages the capabilities of both companies. Foxconn’s latest investment is another step in that direction. Our Board of Directors and management team strongly believe that deep collaboration with the Foxconn EV ecosystem, including the Mobility-in-Harmony (MIH) open-source platform, offers tremendous opportunities to meet our mutual ambition to accelerate EV adoption globally. I look forward to welcoming Foxconn representatives to our Board and exploring other ways to deepen our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spacing w:after="0" w:line="261" w:lineRule="auto"/>
        <w:rPr>
          <w:sz w:val="20"/>
          <w:szCs w:val="20"/>
          <w:color w:val="auto"/>
        </w:rPr>
      </w:pPr>
      <w:r>
        <w:rPr>
          <w:rFonts w:ascii="Times New Roman" w:cs="Times New Roman" w:eastAsia="Times New Roman" w:hAnsi="Times New Roman"/>
          <w:sz w:val="18"/>
          <w:szCs w:val="18"/>
          <w:color w:val="auto"/>
        </w:rPr>
        <w:t>Edward Hightower, CEO and President of LMC commented: “Over the last year, the LMC and Foxconn teams have worked collaboratively to bring the Endurance into commercial production, despite numerous external challenges. We acknowledge and appreciate the confidence in our team that is shown by this investment. The combination of LMC’s experienced vehicle development team, Foxconn’s growing EV ecosystem, the MIH platform, and our asset-light business model will allow us to bring great EVs to market faster and more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Lordstown Motors Corp.</w:t>
      </w:r>
    </w:p>
    <w:p>
      <w:pPr>
        <w:spacing w:after="0" w:line="229"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 xml:space="preserve">Lordstown Motors is an original equipment manufacturer (OEM) of electric vehicles focused on the commercial fleet market, with the Endurance all electric pick-up truck as its first vehicle being launched at the Foxconn EV plant in the Lordstown, Ohio facility. Lordstown Motors has engineering, research and development facilities in Farmington Hills, Michigan and Irvine, California. For additional information visit </w:t>
      </w:r>
      <w:r>
        <w:rPr>
          <w:rFonts w:ascii="Times New Roman" w:cs="Times New Roman" w:eastAsia="Times New Roman" w:hAnsi="Times New Roman"/>
          <w:sz w:val="17"/>
          <w:szCs w:val="17"/>
          <w:u w:val="single" w:color="auto"/>
          <w:color w:val="auto"/>
        </w:rPr>
        <w:t>www.lordstownmotors.com</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Carter W. Driscoll,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IR@lordstownmotors.com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Colleen Robar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crobar@robarpr.com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313-207-5960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These statements are made under the "safe harbor" provisions of the U.S. Private Securities Litigation Reform Act of 1995. These statements may be identified by words such as "feel," "believes," expects," "estimates," "projects," "intends," "should," "is to be," or the negative of such terms, or other comparable terminology.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including, but not limited to: the need to raise substantial additional capital to execute our business plan, achieve our production targets for the Endurance, achieve scaled production of the Endurance, develop additional vehicles, to continue ongoing operations and remain a going concern, and our ability to raise such funding including under current arrangements on a reasonable timeline and with suitable terms; the cost and other impacts of contingent liabilities such as litigation, regulatory proceedings, investigations, stockholder letters and claims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 our limited operating history and our ability to execute our business plan, including through our expanding relationship with Foxconn; our ability to raise sufficient capital in order to invest in the tooling that we expect will enable us to eventually lower the Endurance bill of materials cost, continue design enhancements of the Endurance and fund future vehicles that we may develop; the rollout of our business and the timing of expected business milestones, including the ability to ensure the completion of tooling, to establish and maintain appropriate supplier relationships, to successfully complete testing, homologation and certification, and to continue ramp up of commercial production (which is currently expected to be slow) and start delivery of the Endurance in accordance with our projected timeline; our ability to successfully identify and implement actions that will lower the Endurance bill of materials cost; supply chain disruptions, inflation and the potential inability to source essential components and raw materials, including on a timely basis or at acceptable cost, and their consequences on testing, production, sales and other activities; our ability to obtain binding purchase orders and build customer relationships; the risk that our technology, including our hub motors, does not perform as expected and our overall ability to deliver on the expectations of customers with respect to the pricing, performance, quality, reliability, safety and efficiency of the Endurance and to provide the levels of warranty coverage, service and support that they will require; our ability to conduct business using a direct sales model, rather than through a dealer network used by most other OEMs; the effects of competition on our ability to market and sell vehicles; our inability to retain key personnel and to hire additional personnel; the ability to protect our intellectual property rights; the failure to obtain required regulatory approvals; changes in laws or regulatory requirements or new or different interpretations of existing law; changes in governmental incentives and fuel and energy prices; the impact of health epidemics, including the COVID-19 pandemic, on our business; cybersecurity breaches and threats and compliance with privacy and data protection laws; failure to timely implement and maintain adequate financial, information technology and management processes and controls and procedures; our ability to remain in compliance with our existing financial obligations; and the possibility that we may be adversely affected by other economic, geopolitical, business and/or competitive factors, including rising interest rates and the direct and indirect effects of the war in Ukraine.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the Investment Transactions and other relationships entered into with Foxconn are subject to risks and uncertainties. No assurances can be given that we will successfully implement or that we will realize the anticipated benefits from the Investment Transactions or other recently completed transactions with Foxconn, including the contract manufacturing agreement. The funding transactions under the Investment Agreement are subject to closing conditions including regulatory approvals and further negotiation of development milestones. The EV Program will require additional funding and the establishment and implementation of the program requirements, among other matters, and may not be consummated, sufficiently implemented or provide the benefits we expect, which could have a material adverse effect on our business, operating results, financial condition and prospects. The success of the EV Program depends on many variables, which could include our ability to utilize the designs, engineering data and other foundational work of Foxconn, its affiliates, and other members of the MIH consortium as well as other parties to commercialize, industrialize, homologate and certify a vehicle in North America, along with variables that are out of the parties' control, such as technology, innovation, adequate funding, supply chain and other economic conditions, competitors, customer demand and other factors that impact new vehicle development. If we are unable to develop new vehicles for ourselves and potentially other customers, our business prospects, results of operations and financial condition may be adversely affected. If the Investment Transactions are consummated, Foxconn will own a significant percentage of our equity securities and have rights that enable it to influence our actions, operation of the Board and actions requiring stockholder approval. If we are unable to maintain our relationship with Foxconn or effectively manage outsourcing the production of the Endurance to Foxconn, we may be unable to ensure continuity, quality, and compliance with our design specifications or applicable laws and regulations, which may ultimately disrupt and have a negative effect on our production and operations.</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need additional funding and will seek strategic partnerships to execute our business plan and to achieve scaled production of the Endurance and development of other vehicles. There can be no assurance that such financing or partnerships would be available to us on favorable terms or at all, due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related to ongoing litigation and the SEC investigation, our performance and investor sentiment with respect to us and our business and industry. Additional information on potential factors that could affect the financial results of the Company and its forward-looking statements is included in its most recent Form 10-K and subsequent filings with the Securities and Exchange Commission.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lvl w:ilvl="1">
      <w:lvlJc w:val="left"/>
      <w:lvlText w:val="(%2)"/>
      <w:numFmt w:val="lowerRoman"/>
      <w:start w:val="2"/>
    </w:lvl>
  </w:abstractNum>
  <w:abstractNum w:abstractNumId="3">
    <w:nsid w:val="25A70BF7"/>
    <w:multiLevelType w:val="hybridMultilevel"/>
    <w:lvl w:ilvl="0">
      <w:lvlJc w:val="left"/>
      <w:lvlText w:val="(%1)"/>
      <w:numFmt w:val="lowerLetter"/>
      <w:start w:val="1"/>
    </w:lvl>
  </w:abstractNum>
  <w:abstractNum w:abstractNumId="4">
    <w:nsid w:val="1DBABF00"/>
    <w:multiLevelType w:val="hybridMultilevel"/>
    <w:lvl w:ilvl="0">
      <w:lvlJc w:val="left"/>
      <w:lvlText w:val="(%1)"/>
      <w:numFmt w:val="lowerLetter"/>
      <w:start w:val="1"/>
    </w:lvl>
  </w:abstractNum>
  <w:abstractNum w:abstractNumId="5">
    <w:nsid w:val="4AD084E9"/>
    <w:multiLevelType w:val="hybridMultilevel"/>
    <w:lvl w:ilvl="0">
      <w:lvlJc w:val="left"/>
      <w:lvlText w:val="(%1)"/>
      <w:numFmt w:val="lowerLetter"/>
      <w:start w:val="2"/>
    </w:lvl>
  </w:abstractNum>
  <w:abstractNum w:abstractNumId="6">
    <w:nsid w:val="1F48EAA1"/>
    <w:multiLevelType w:val="hybridMultilevel"/>
    <w:lvl w:ilvl="0">
      <w:lvlJc w:val="left"/>
      <w:lvlText w:val="(%1)"/>
      <w:numFmt w:val="lowerLetter"/>
      <w:start w:val="1"/>
    </w:lvl>
  </w:abstractNum>
  <w:abstractNum w:abstractNumId="7">
    <w:nsid w:val="1381823A"/>
    <w:multiLevelType w:val="hybridMultilevel"/>
    <w:lvl w:ilvl="0">
      <w:lvlJc w:val="left"/>
      <w:lvlText w:val="(%1)"/>
      <w:numFmt w:val="lowerLetter"/>
      <w:start w:val="2"/>
    </w:lvl>
  </w:abstractNum>
  <w:abstractNum w:abstractNumId="8">
    <w:nsid w:val="5DB70AE5"/>
    <w:multiLevelType w:val="hybridMultilevel"/>
    <w:lvl w:ilvl="0">
      <w:lvlJc w:val="left"/>
      <w:lvlText w:val="(%1)"/>
      <w:numFmt w:val="lowerLetter"/>
      <w:start w:val="2"/>
    </w:lvl>
  </w:abstractNum>
  <w:abstractNum w:abstractNumId="9">
    <w:nsid w:val="100F8FCA"/>
    <w:multiLevelType w:val="hybridMultilevel"/>
    <w:lvl w:ilvl="0">
      <w:lvlJc w:val="left"/>
      <w:lvlText w:val="%1"/>
      <w:numFmt w:val="lowerLetter"/>
      <w:start w:val="1"/>
    </w:lvl>
    <w:lvl w:ilvl="1">
      <w:lvlJc w:val="left"/>
      <w:lvlText w:val="(%2)"/>
      <w:numFmt w:val="lowerLetter"/>
      <w:start w:val="3"/>
    </w:lvl>
  </w:abstractNum>
  <w:abstractNum w:abstractNumId="10">
    <w:nsid w:val="6590700B"/>
    <w:multiLevelType w:val="hybridMultilevel"/>
    <w:lvl w:ilvl="0">
      <w:lvlJc w:val="left"/>
      <w:lvlText w:val="(%1)"/>
      <w:numFmt w:val="lowerLetter"/>
      <w:start w:val="24"/>
    </w:lvl>
    <w:lvl w:ilvl="1">
      <w:lvlJc w:val="left"/>
      <w:lvlText w:val="(%2)"/>
      <w:numFmt w:val="lowerLetter"/>
      <w:start w:val="4"/>
    </w:lvl>
  </w:abstractNum>
  <w:abstractNum w:abstractNumId="11">
    <w:nsid w:val="15014ACB"/>
    <w:multiLevelType w:val="hybridMultilevel"/>
    <w:lvl w:ilvl="0">
      <w:lvlJc w:val="left"/>
      <w:lvlText w:val="(%1)"/>
      <w:numFmt w:val="lowerLetter"/>
      <w:start w:val="6"/>
    </w:lvl>
    <w:lvl w:ilvl="1">
      <w:lvlJc w:val="left"/>
      <w:lvlText w:val="(%2)"/>
      <w:numFmt w:val="lowerRoman"/>
      <w:start w:val="1"/>
    </w:lvl>
  </w:abstractNum>
  <w:abstractNum w:abstractNumId="12">
    <w:nsid w:val="5F5E7FD0"/>
    <w:multiLevelType w:val="hybridMultilevel"/>
    <w:lvl w:ilvl="0">
      <w:lvlJc w:val="left"/>
      <w:lvlText w:val="(%1)"/>
      <w:numFmt w:val="lowerLetter"/>
      <w:start w:val="7"/>
    </w:lvl>
  </w:abstractNum>
  <w:abstractNum w:abstractNumId="13">
    <w:nsid w:val="98A3148"/>
    <w:multiLevelType w:val="hybridMultilevel"/>
    <w:lvl w:ilvl="0">
      <w:lvlJc w:val="left"/>
      <w:lvlText w:val="(%1)"/>
      <w:numFmt w:val="lowerLetter"/>
      <w:start w:val="2"/>
    </w:lvl>
  </w:abstractNum>
  <w:abstractNum w:abstractNumId="14">
    <w:nsid w:val="799D0247"/>
    <w:multiLevelType w:val="hybridMultilevel"/>
    <w:lvl w:ilvl="0">
      <w:lvlJc w:val="left"/>
      <w:lvlText w:val="(%1)"/>
      <w:numFmt w:val="lowerLetter"/>
      <w:start w:val="1"/>
    </w:lvl>
  </w:abstractNum>
  <w:abstractNum w:abstractNumId="15">
    <w:nsid w:val="6B94764"/>
    <w:multiLevelType w:val="hybridMultilevel"/>
    <w:lvl w:ilvl="0">
      <w:lvlJc w:val="left"/>
      <w:lvlText w:val="(%1)"/>
      <w:numFmt w:val="decimal"/>
      <w:start w:val="30"/>
    </w:lvl>
    <w:lvl w:ilvl="1">
      <w:lvlJc w:val="left"/>
      <w:lvlText w:val="(%2)"/>
      <w:numFmt w:val="lowerLetter"/>
      <w:start w:val="2"/>
    </w:lvl>
  </w:abstractNum>
  <w:abstractNum w:abstractNumId="16">
    <w:nsid w:val="42C296BD"/>
    <w:multiLevelType w:val="hybridMultilevel"/>
    <w:lvl w:ilvl="0">
      <w:lvlJc w:val="left"/>
      <w:lvlText w:val="(%1)"/>
      <w:numFmt w:val="lowerRoman"/>
      <w:start w:val="1"/>
    </w:lvl>
  </w:abstractNum>
  <w:abstractNum w:abstractNumId="17">
    <w:nsid w:val="168E121F"/>
    <w:multiLevelType w:val="hybridMultilevel"/>
    <w:lvl w:ilvl="0">
      <w:lvlJc w:val="left"/>
      <w:lvlText w:val="(%1)"/>
      <w:numFmt w:val="lowerRoman"/>
      <w:start w:val="1"/>
    </w:lvl>
  </w:abstractNum>
  <w:abstractNum w:abstractNumId="18">
    <w:nsid w:val="1EBA5D23"/>
    <w:multiLevelType w:val="hybridMultilevel"/>
    <w:lvl w:ilvl="0">
      <w:lvlJc w:val="left"/>
      <w:lvlText w:val="(%1)"/>
      <w:numFmt w:val="lowerLetter"/>
      <w:start w:val="2"/>
    </w:lvl>
  </w:abstractNum>
  <w:abstractNum w:abstractNumId="19">
    <w:nsid w:val="661E3F1E"/>
    <w:multiLevelType w:val="hybridMultilevel"/>
    <w:lvl w:ilvl="0">
      <w:lvlJc w:val="left"/>
      <w:lvlText w:val="%1"/>
      <w:numFmt w:val="lowerLetter"/>
      <w:start w:val="1"/>
    </w:lvl>
    <w:lvl w:ilvl="1">
      <w:lvlJc w:val="left"/>
      <w:lvlText w:val="(%2)"/>
      <w:numFmt w:val="lowerLetter"/>
      <w:start w:val="3"/>
    </w:lvl>
  </w:abstractNum>
  <w:abstractNum w:abstractNumId="20">
    <w:nsid w:val="5DC79EA8"/>
    <w:multiLevelType w:val="hybridMultilevel"/>
    <w:lvl w:ilvl="0">
      <w:lvlJc w:val="left"/>
      <w:lvlText w:val="(%1)"/>
      <w:numFmt w:val="lowerLetter"/>
      <w:start w:val="35"/>
    </w:lvl>
    <w:lvl w:ilvl="1">
      <w:lvlJc w:val="left"/>
      <w:lvlText w:val="%2"/>
      <w:numFmt w:val="lowerLetter"/>
      <w:start w:val="1"/>
    </w:lvl>
  </w:abstractNum>
  <w:abstractNum w:abstractNumId="21">
    <w:nsid w:val="540A471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
    <w:nsid w:val="7BD3EE7B"/>
    <w:multiLevelType w:val="hybridMultilevel"/>
    <w:lvl w:ilvl="0">
      <w:lvlJc w:val="left"/>
      <w:lvlText w:val="(%1)"/>
      <w:numFmt w:val="decimal"/>
      <w:start w:val="3"/>
    </w:lvl>
    <w:lvl w:ilvl="1">
      <w:lvlJc w:val="left"/>
      <w:lvlText w:val="(%2)"/>
      <w:numFmt w:val="lowerLetter"/>
      <w:start w:val="6"/>
    </w:lvl>
    <w:lvl w:ilvl="2">
      <w:lvlJc w:val="left"/>
      <w:lvlText w:val="(%3)"/>
      <w:numFmt w:val="lowerRoman"/>
      <w:start w:val="2"/>
    </w:lvl>
  </w:abstractNum>
  <w:abstractNum w:abstractNumId="23">
    <w:nsid w:val="51D9C564"/>
    <w:multiLevelType w:val="hybridMultilevel"/>
    <w:lvl w:ilvl="0">
      <w:lvlJc w:val="left"/>
      <w:lvlText w:val="(%1)"/>
      <w:numFmt w:val="lowerLetter"/>
      <w:start w:val="8"/>
    </w:lvl>
  </w:abstractNum>
  <w:abstractNum w:abstractNumId="24">
    <w:nsid w:val="613EFDC5"/>
    <w:multiLevelType w:val="hybridMultilevel"/>
    <w:lvl w:ilvl="0">
      <w:lvlJc w:val="left"/>
      <w:lvlText w:val="(%1)"/>
      <w:numFmt w:val="lowerLetter"/>
      <w:start w:val="2"/>
    </w:lvl>
  </w:abstractNum>
  <w:abstractNum w:abstractNumId="25">
    <w:nsid w:val="BF72B14"/>
    <w:multiLevelType w:val="hybridMultilevel"/>
    <w:lvl w:ilvl="0">
      <w:lvlJc w:val="left"/>
      <w:lvlText w:val="%1"/>
      <w:numFmt w:val="lowerLetter"/>
      <w:start w:val="1"/>
    </w:lvl>
    <w:lvl w:ilvl="1">
      <w:lvlJc w:val="left"/>
      <w:lvlText w:val="(%2)"/>
      <w:numFmt w:val="lowerRoman"/>
      <w:start w:val="1"/>
    </w:lvl>
  </w:abstractNum>
  <w:abstractNum w:abstractNumId="26">
    <w:nsid w:val="11447B73"/>
    <w:multiLevelType w:val="hybridMultilevel"/>
    <w:lvl w:ilvl="0">
      <w:lvlJc w:val="left"/>
      <w:lvlText w:val="(%1)"/>
      <w:numFmt w:val="lowerLetter"/>
      <w:start w:val="4"/>
    </w:lvl>
    <w:lvl w:ilvl="1">
      <w:lvlJc w:val="left"/>
      <w:lvlText w:val="%2"/>
      <w:numFmt w:val="lowerRoman"/>
      <w:start w:val="1"/>
    </w:lvl>
  </w:abstractNum>
  <w:abstractNum w:abstractNumId="27">
    <w:nsid w:val="42963E5A"/>
    <w:multiLevelType w:val="hybridMultilevel"/>
    <w:lvl w:ilvl="0">
      <w:lvlJc w:val="left"/>
      <w:lvlText w:val="(%1)"/>
      <w:numFmt w:val="lowerLetter"/>
      <w:start w:val="8"/>
    </w:lvl>
  </w:abstractNum>
  <w:abstractNum w:abstractNumId="28">
    <w:nsid w:val="A0382C5"/>
    <w:multiLevelType w:val="hybridMultilevel"/>
    <w:lvl w:ilvl="0">
      <w:lvlJc w:val="left"/>
      <w:lvlText w:val="(%1)"/>
      <w:numFmt w:val="lowerRoman"/>
      <w:start w:val="1"/>
    </w:lvl>
  </w:abstractNum>
  <w:abstractNum w:abstractNumId="29">
    <w:nsid w:val="8F2B15E"/>
    <w:multiLevelType w:val="hybridMultilevel"/>
    <w:lvl w:ilvl="0">
      <w:lvlJc w:val="left"/>
      <w:lvlText w:val="(%1)"/>
      <w:numFmt w:val="lowerRoman"/>
      <w:start w:val="2"/>
    </w:lvl>
  </w:abstractNum>
  <w:abstractNum w:abstractNumId="30">
    <w:nsid w:val="1A32234B"/>
    <w:multiLevelType w:val="hybridMultilevel"/>
    <w:lvl w:ilvl="0">
      <w:lvlJc w:val="left"/>
      <w:lvlText w:val="(%1)"/>
      <w:numFmt w:val="lowerRoman"/>
      <w:start w:val="3"/>
    </w:lvl>
  </w:abstractNum>
  <w:abstractNum w:abstractNumId="31">
    <w:nsid w:val="3B0FD379"/>
    <w:multiLevelType w:val="hybridMultilevel"/>
    <w:lvl w:ilvl="0">
      <w:lvlJc w:val="left"/>
      <w:lvlText w:val="%1"/>
      <w:numFmt w:val="upperLetter"/>
      <w:start w:val="1"/>
    </w:lvl>
    <w:lvl w:ilvl="1">
      <w:lvlJc w:val="left"/>
      <w:lvlText w:val="(%2)"/>
      <w:numFmt w:val="lowerRoman"/>
      <w:start w:val="4"/>
    </w:lvl>
  </w:abstractNum>
  <w:abstractNum w:abstractNumId="32">
    <w:nsid w:val="68EB2F63"/>
    <w:multiLevelType w:val="hybridMultilevel"/>
    <w:lvl w:ilvl="0">
      <w:lvlJc w:val="left"/>
      <w:lvlText w:val="(%1)"/>
      <w:numFmt w:val="upperLetter"/>
      <w:start w:val="1"/>
    </w:lvl>
    <w:lvl w:ilvl="1">
      <w:lvlJc w:val="left"/>
      <w:lvlText w:val="%2"/>
      <w:numFmt w:val="lowerRoman"/>
      <w:start w:val="1"/>
    </w:lvl>
  </w:abstractNum>
  <w:abstractNum w:abstractNumId="33">
    <w:nsid w:val="4962813B"/>
    <w:multiLevelType w:val="hybridMultilevel"/>
    <w:lvl w:ilvl="0">
      <w:lvlJc w:val="left"/>
      <w:lvlText w:val="(%1)"/>
      <w:numFmt w:val="lowerRoman"/>
      <w:start w:val="5"/>
    </w:lvl>
  </w:abstractNum>
  <w:abstractNum w:abstractNumId="34">
    <w:nsid w:val="60B6DF70"/>
    <w:multiLevelType w:val="hybridMultilevel"/>
    <w:lvl w:ilvl="0">
      <w:lvlJc w:val="left"/>
      <w:lvlText w:val="%1"/>
      <w:numFmt w:val="upperLetter"/>
      <w:start w:val="1"/>
    </w:lvl>
    <w:lvl w:ilvl="1">
      <w:lvlJc w:val="left"/>
      <w:lvlText w:val="(%2)"/>
      <w:numFmt w:val="lowerRoman"/>
      <w:start w:val="6"/>
    </w:lvl>
  </w:abstractNum>
  <w:abstractNum w:abstractNumId="35">
    <w:nsid w:val="6A5EE64"/>
    <w:multiLevelType w:val="hybridMultilevel"/>
    <w:lvl w:ilvl="0">
      <w:lvlJc w:val="left"/>
      <w:lvlText w:val="(%1)"/>
      <w:numFmt w:val="upperLetter"/>
      <w:start w:val="2"/>
    </w:lvl>
    <w:lvl w:ilvl="1">
      <w:lvlJc w:val="left"/>
      <w:lvlText w:val="%2"/>
      <w:numFmt w:val="lowerRoman"/>
      <w:start w:val="1"/>
    </w:lvl>
  </w:abstractNum>
  <w:abstractNum w:abstractNumId="36">
    <w:nsid w:val="1433062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7">
    <w:nsid w:val="7FFFCA1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lvl w:ilvl="3">
      <w:lvlJc w:val="left"/>
      <w:lvlText w:val="(%4)"/>
      <w:numFmt w:val="upperLetter"/>
      <w:start w:val="1"/>
    </w:lvl>
  </w:abstractNum>
  <w:abstractNum w:abstractNumId="38">
    <w:nsid w:val="1A2770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9">
    <w:nsid w:val="71EA110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0">
    <w:nsid w:val="100F59DC"/>
    <w:multiLevelType w:val="hybridMultilevel"/>
    <w:lvl w:ilvl="0">
      <w:lvlJc w:val="left"/>
      <w:lvlText w:val="(%1)"/>
      <w:numFmt w:val="lowerRoman"/>
      <w:start w:val="3"/>
    </w:lvl>
  </w:abstractNum>
  <w:abstractNum w:abstractNumId="41">
    <w:nsid w:val="7FB7E0AA"/>
    <w:multiLevelType w:val="hybridMultilevel"/>
    <w:lvl w:ilvl="0">
      <w:lvlJc w:val="left"/>
      <w:lvlText w:val="(%1)"/>
      <w:numFmt w:val="lowerLetter"/>
      <w:start w:val="1"/>
    </w:lvl>
    <w:lvl w:ilvl="1">
      <w:lvlJc w:val="left"/>
      <w:lvlText w:val="(%2)"/>
      <w:numFmt w:val="lowerRoman"/>
      <w:start w:val="1"/>
    </w:lvl>
  </w:abstractNum>
  <w:abstractNum w:abstractNumId="42">
    <w:nsid w:val="6EB5BD4"/>
    <w:multiLevelType w:val="hybridMultilevel"/>
    <w:lvl w:ilvl="0">
      <w:lvlJc w:val="left"/>
      <w:lvlText w:val="(%1)"/>
      <w:numFmt w:val="lowerLetter"/>
      <w:start w:val="2"/>
    </w:lvl>
  </w:abstractNum>
  <w:abstractNum w:abstractNumId="43">
    <w:nsid w:val="6F6DD9AC"/>
    <w:multiLevelType w:val="hybridMultilevel"/>
    <w:lvl w:ilvl="0">
      <w:lvlJc w:val="left"/>
      <w:lvlText w:val="(%1)"/>
      <w:numFmt w:val="lowerLetter"/>
      <w:start w:val="1"/>
    </w:lvl>
  </w:abstractNum>
  <w:abstractNum w:abstractNumId="44">
    <w:nsid w:val="94211F2"/>
    <w:multiLevelType w:val="hybridMultilevel"/>
    <w:lvl w:ilvl="0">
      <w:lvlJc w:val="left"/>
      <w:lvlText w:val="(%1)"/>
      <w:numFmt w:val="lowerLetter"/>
      <w:start w:val="2"/>
    </w:lvl>
    <w:lvl w:ilvl="1">
      <w:lvlJc w:val="left"/>
      <w:lvlText w:val="(%2)"/>
      <w:numFmt w:val="lowerRoman"/>
      <w:start w:val="1"/>
    </w:lvl>
  </w:abstractNum>
  <w:abstractNum w:abstractNumId="45">
    <w:nsid w:val="885E1B"/>
    <w:multiLevelType w:val="hybridMultilevel"/>
    <w:lvl w:ilvl="0">
      <w:lvlJc w:val="left"/>
      <w:lvlText w:val="(%1)"/>
      <w:numFmt w:val="lowerLetter"/>
      <w:start w:val="3"/>
    </w:lvl>
  </w:abstractNum>
  <w:abstractNum w:abstractNumId="46">
    <w:nsid w:val="76272110"/>
    <w:multiLevelType w:val="hybridMultilevel"/>
    <w:lvl w:ilvl="0">
      <w:lvlJc w:val="left"/>
      <w:lvlText w:val="(%1)"/>
      <w:numFmt w:val="lowerLetter"/>
      <w:start w:val="2"/>
    </w:lvl>
  </w:abstractNum>
  <w:abstractNum w:abstractNumId="47">
    <w:nsid w:val="4C04A8AF"/>
    <w:multiLevelType w:val="hybridMultilevel"/>
    <w:lvl w:ilvl="0">
      <w:lvlJc w:val="left"/>
      <w:lvlText w:val="(%1)"/>
      <w:numFmt w:val="lowerRoman"/>
      <w:start w:val="1"/>
    </w:lvl>
  </w:abstractNum>
  <w:abstractNum w:abstractNumId="48">
    <w:nsid w:val="1716703B"/>
    <w:multiLevelType w:val="hybridMultilevel"/>
    <w:lvl w:ilvl="0">
      <w:lvlJc w:val="left"/>
      <w:lvlText w:val="(%1)"/>
      <w:numFmt w:val="lowerLetter"/>
      <w:start w:val="1"/>
    </w:lvl>
  </w:abstractNum>
  <w:abstractNum w:abstractNumId="49">
    <w:nsid w:val="14E17E33"/>
    <w:multiLevelType w:val="hybridMultilevel"/>
    <w:lvl w:ilvl="0">
      <w:lvlJc w:val="left"/>
      <w:lvlText w:val="(%1)"/>
      <w:numFmt w:val="lowerLetter"/>
      <w:start w:val="1"/>
    </w:lvl>
  </w:abstractNum>
  <w:abstractNum w:abstractNumId="50">
    <w:nsid w:val="3222E7CD"/>
    <w:multiLevelType w:val="hybridMultilevel"/>
    <w:lvl w:ilvl="0">
      <w:lvlJc w:val="left"/>
      <w:lvlText w:val="(%1)"/>
      <w:numFmt w:val="lowerRoman"/>
      <w:start w:val="2"/>
    </w:lvl>
  </w:abstractNum>
  <w:abstractNum w:abstractNumId="51">
    <w:nsid w:val="74DE0EE3"/>
    <w:multiLevelType w:val="hybridMultilevel"/>
    <w:lvl w:ilvl="0">
      <w:lvlJc w:val="left"/>
      <w:lvlText w:val="(%1)"/>
      <w:numFmt w:val="lowerLetter"/>
      <w:start w:val="1"/>
    </w:lvl>
  </w:abstractNum>
  <w:abstractNum w:abstractNumId="52">
    <w:nsid w:val="68EBC550"/>
    <w:multiLevelType w:val="hybridMultilevel"/>
    <w:lvl w:ilvl="0">
      <w:lvlJc w:val="left"/>
      <w:lvlText w:val="(%1)"/>
      <w:numFmt w:val="lowerLetter"/>
      <w:start w:val="2"/>
    </w:lvl>
  </w:abstractNum>
  <w:abstractNum w:abstractNumId="53">
    <w:nsid w:val="2DF6D648"/>
    <w:multiLevelType w:val="hybridMultilevel"/>
    <w:lvl w:ilvl="0">
      <w:lvlJc w:val="left"/>
      <w:lvlText w:val="1"/>
      <w:numFmt w:val="bullet"/>
      <w:start w:val="1"/>
    </w:lvl>
  </w:abstractNum>
  <w:abstractNum w:abstractNumId="54">
    <w:nsid w:val="46B7D447"/>
    <w:multiLevelType w:val="hybridMultilevel"/>
    <w:lvl w:ilvl="0">
      <w:lvlJc w:val="left"/>
      <w:lvlText w:val="(%1)"/>
      <w:numFmt w:val="lowerLetter"/>
      <w:start w:val="1"/>
    </w:lvl>
  </w:abstractNum>
  <w:abstractNum w:abstractNumId="55">
    <w:nsid w:val="4A2AC315"/>
    <w:multiLevelType w:val="hybridMultilevel"/>
    <w:lvl w:ilvl="0">
      <w:lvlJc w:val="left"/>
      <w:lvlText w:val="(%1)"/>
      <w:numFmt w:val="lowerLetter"/>
      <w:start w:val="1"/>
    </w:lvl>
    <w:lvl w:ilvl="1">
      <w:lvlJc w:val="left"/>
      <w:lvlText w:val="(%2)"/>
      <w:numFmt w:val="lowerRoman"/>
      <w:start w:val="1"/>
    </w:lvl>
  </w:abstractNum>
  <w:abstractNum w:abstractNumId="56">
    <w:nsid w:val="39EE015C"/>
    <w:multiLevelType w:val="hybridMultilevel"/>
    <w:lvl w:ilvl="0">
      <w:lvlJc w:val="left"/>
      <w:lvlText w:val="(%1)"/>
      <w:numFmt w:val="lowerLetter"/>
      <w:start w:val="1"/>
    </w:lvl>
  </w:abstractNum>
  <w:abstractNum w:abstractNumId="57">
    <w:nsid w:val="57FC4FBB"/>
    <w:multiLevelType w:val="hybridMultilevel"/>
    <w:lvl w:ilvl="0">
      <w:lvlJc w:val="left"/>
      <w:lvlText w:val="(%1)"/>
      <w:numFmt w:val="lowerLetter"/>
      <w:start w:val="2"/>
    </w:lvl>
    <w:lvl w:ilvl="1">
      <w:lvlJc w:val="left"/>
      <w:lvlText w:val="(%2)"/>
      <w:numFmt w:val="lowerRoman"/>
      <w:start w:val="1"/>
    </w:lvl>
  </w:abstractNum>
  <w:abstractNum w:abstractNumId="58">
    <w:nsid w:val="CC1016F"/>
    <w:multiLevelType w:val="hybridMultilevel"/>
    <w:lvl w:ilvl="0">
      <w:lvlJc w:val="left"/>
      <w:lvlText w:val="(%1)"/>
      <w:numFmt w:val="lowerLetter"/>
      <w:start w:val="1"/>
    </w:lvl>
  </w:abstractNum>
  <w:abstractNum w:abstractNumId="59">
    <w:nsid w:val="43F18422"/>
    <w:multiLevelType w:val="hybridMultilevel"/>
    <w:lvl w:ilvl="0">
      <w:lvlJc w:val="left"/>
      <w:lvlText w:val="(%1)"/>
      <w:numFmt w:val="lowerLetter"/>
      <w:start w:val="2"/>
    </w:lvl>
    <w:lvl w:ilvl="1">
      <w:lvlJc w:val="left"/>
      <w:lvlText w:val="(%2)"/>
      <w:numFmt w:val="lowerRoman"/>
      <w:start w:val="1"/>
    </w:lvl>
  </w:abstractNum>
  <w:abstractNum w:abstractNumId="60">
    <w:nsid w:val="60EF0119"/>
    <w:multiLevelType w:val="hybridMultilevel"/>
    <w:lvl w:ilvl="0">
      <w:lvlJc w:val="left"/>
      <w:lvlText w:val="(%1)"/>
      <w:numFmt w:val="upperLetter"/>
      <w:start w:val="2"/>
    </w:lvl>
  </w:abstractNum>
  <w:abstractNum w:abstractNumId="61">
    <w:nsid w:val="26F324BA"/>
    <w:multiLevelType w:val="hybridMultilevel"/>
    <w:lvl w:ilvl="0">
      <w:lvlJc w:val="left"/>
      <w:lvlText w:val="(%1)"/>
      <w:numFmt w:val="lowerLetter"/>
      <w:start w:val="1"/>
    </w:lvl>
  </w:abstractNum>
  <w:abstractNum w:abstractNumId="62">
    <w:nsid w:val="7F01579B"/>
    <w:multiLevelType w:val="hybridMultilevel"/>
    <w:lvl w:ilvl="0">
      <w:lvlJc w:val="left"/>
      <w:lvlText w:val="(%1)"/>
      <w:numFmt w:val="lowerLetter"/>
      <w:start w:val="2"/>
    </w:lvl>
  </w:abstractNum>
  <w:abstractNum w:abstractNumId="63">
    <w:nsid w:val="49DA307D"/>
    <w:multiLevelType w:val="hybridMultilevel"/>
    <w:lvl w:ilvl="0">
      <w:lvlJc w:val="left"/>
      <w:lvlText w:val="(%1)"/>
      <w:numFmt w:val="lowerLetter"/>
      <w:start w:val="1"/>
    </w:lvl>
  </w:abstractNum>
  <w:abstractNum w:abstractNumId="64">
    <w:nsid w:val="7055A5F5"/>
    <w:multiLevelType w:val="hybridMultilevel"/>
    <w:lvl w:ilvl="0">
      <w:lvlJc w:val="left"/>
      <w:lvlText w:val="(%1)"/>
      <w:numFmt w:val="lowerLetter"/>
      <w:start w:val="35"/>
    </w:lvl>
    <w:lvl w:ilvl="1">
      <w:lvlJc w:val="left"/>
      <w:lvlText w:val="(%2)"/>
      <w:numFmt w:val="lowerLetter"/>
      <w:start w:val="2"/>
    </w:lvl>
  </w:abstractNum>
  <w:abstractNum w:abstractNumId="65">
    <w:nsid w:val="5FB8370B"/>
    <w:multiLevelType w:val="hybridMultilevel"/>
    <w:lvl w:ilvl="0">
      <w:lvlJc w:val="left"/>
      <w:lvlText w:val="(%1)"/>
      <w:numFmt w:val="lowerLetter"/>
      <w:start w:val="3"/>
    </w:lvl>
  </w:abstractNum>
  <w:abstractNum w:abstractNumId="66">
    <w:nsid w:val="50801EE1"/>
    <w:multiLevelType w:val="hybridMultilevel"/>
    <w:lvl w:ilvl="0">
      <w:lvlJc w:val="left"/>
      <w:lvlText w:val="(%1)"/>
      <w:numFmt w:val="lowerLetter"/>
      <w:start w:val="1"/>
    </w:lvl>
  </w:abstractNum>
  <w:abstractNum w:abstractNumId="67">
    <w:nsid w:val="488AC1A"/>
    <w:multiLevelType w:val="hybridMultilevel"/>
    <w:lvl w:ilvl="0">
      <w:lvlJc w:val="left"/>
      <w:lvlText w:val="(%1)"/>
      <w:numFmt w:val="lowerLetter"/>
      <w:start w:val="2"/>
    </w:lvl>
  </w:abstractNum>
  <w:abstractNum w:abstractNumId="68">
    <w:nsid w:val="5FB8011C"/>
    <w:multiLevelType w:val="hybridMultilevel"/>
    <w:lvl w:ilvl="0">
      <w:lvlJc w:val="left"/>
      <w:lvlText w:val="(%1)"/>
      <w:numFmt w:val="lowerLetter"/>
      <w:start w:val="1"/>
    </w:lvl>
  </w:abstractNum>
  <w:abstractNum w:abstractNumId="69">
    <w:nsid w:val="6AA78F7F"/>
    <w:multiLevelType w:val="hybridMultilevel"/>
    <w:lvl w:ilvl="0">
      <w:lvlJc w:val="left"/>
      <w:lvlText w:val="(%1)"/>
      <w:numFmt w:val="lowerLetter"/>
      <w:start w:val="2"/>
    </w:lvl>
  </w:abstractNum>
  <w:abstractNum w:abstractNumId="70">
    <w:nsid w:val="7672BD23"/>
    <w:multiLevelType w:val="hybridMultilevel"/>
    <w:lvl w:ilvl="0">
      <w:lvlJc w:val="left"/>
      <w:lvlText w:val="(%1)"/>
      <w:numFmt w:val="lowerLetter"/>
      <w:start w:val="5"/>
    </w:lvl>
  </w:abstractNum>
  <w:abstractNum w:abstractNumId="71">
    <w:nsid w:val="6FC75AF8"/>
    <w:multiLevelType w:val="hybridMultilevel"/>
    <w:lvl w:ilvl="0">
      <w:lvlJc w:val="left"/>
      <w:lvlText w:val="(%1)"/>
      <w:numFmt w:val="lowerLetter"/>
      <w:start w:val="1"/>
    </w:lvl>
  </w:abstractNum>
  <w:abstractNum w:abstractNumId="72">
    <w:nsid w:val="6A5F7029"/>
    <w:multiLevelType w:val="hybridMultilevel"/>
    <w:lvl w:ilvl="0">
      <w:lvlJc w:val="left"/>
      <w:lvlText w:val="(%1)"/>
      <w:numFmt w:val="lowerLetter"/>
      <w:start w:val="2"/>
    </w:lvl>
  </w:abstractNum>
  <w:abstractNum w:abstractNumId="73">
    <w:nsid w:val="7D5E18F8"/>
    <w:multiLevelType w:val="hybridMultilevel"/>
    <w:lvl w:ilvl="0">
      <w:lvlJc w:val="left"/>
      <w:lvlText w:val="(%1)"/>
      <w:numFmt w:val="lowerLetter"/>
      <w:start w:val="1"/>
    </w:lvl>
  </w:abstractNum>
  <w:abstractNum w:abstractNumId="74">
    <w:nsid w:val="5F3534A4"/>
    <w:multiLevelType w:val="hybridMultilevel"/>
    <w:lvl w:ilvl="0">
      <w:lvlJc w:val="left"/>
      <w:lvlText w:val="(%1)"/>
      <w:numFmt w:val="lowerLetter"/>
      <w:start w:val="1"/>
    </w:lvl>
  </w:abstractNum>
  <w:abstractNum w:abstractNumId="75">
    <w:nsid w:val="73A1821B"/>
    <w:multiLevelType w:val="hybridMultilevel"/>
    <w:lvl w:ilvl="0">
      <w:lvlJc w:val="left"/>
      <w:lvlText w:val="(%1)"/>
      <w:numFmt w:val="lowerRoman"/>
      <w:start w:val="1"/>
    </w:lvl>
  </w:abstractNum>
  <w:abstractNum w:abstractNumId="76">
    <w:nsid w:val="7DE67713"/>
    <w:multiLevelType w:val="hybridMultilevel"/>
    <w:lvl w:ilvl="0">
      <w:lvlJc w:val="left"/>
      <w:lvlText w:val="(%1)"/>
      <w:numFmt w:val="lowerLetter"/>
      <w:start w:val="1"/>
    </w:lvl>
  </w:abstractNum>
  <w:abstractNum w:abstractNumId="77">
    <w:nsid w:val="555C55B5"/>
    <w:multiLevelType w:val="hybridMultilevel"/>
    <w:lvl w:ilvl="0">
      <w:lvlJc w:val="left"/>
      <w:lvlText w:val="(%1)"/>
      <w:numFmt w:val="lowerLetter"/>
      <w:start w:val="1"/>
    </w:lvl>
  </w:abstractNum>
  <w:abstractNum w:abstractNumId="78">
    <w:nsid w:val="3FA62ACA"/>
    <w:multiLevelType w:val="hybridMultilevel"/>
    <w:lvl w:ilvl="0">
      <w:lvlJc w:val="left"/>
      <w:lvlText w:val="(%1)"/>
      <w:numFmt w:val="lowerLetter"/>
      <w:start w:val="2"/>
    </w:lvl>
  </w:abstractNum>
  <w:abstractNum w:abstractNumId="79">
    <w:nsid w:val="14FCE74E"/>
    <w:multiLevelType w:val="hybridMultilevel"/>
    <w:lvl w:ilvl="0">
      <w:lvlJc w:val="left"/>
      <w:lvlText w:val="(%1)"/>
      <w:numFmt w:val="lowerLetter"/>
      <w:start w:val="1"/>
    </w:lvl>
  </w:abstractNum>
  <w:abstractNum w:abstractNumId="80">
    <w:nsid w:val="6A3DD3E8"/>
    <w:multiLevelType w:val="hybridMultilevel"/>
    <w:lvl w:ilvl="0">
      <w:lvlJc w:val="left"/>
      <w:lvlText w:val="(%1)"/>
      <w:numFmt w:val="lowerLetter"/>
      <w:start w:val="6"/>
    </w:lvl>
  </w:abstractNum>
  <w:abstractNum w:abstractNumId="81">
    <w:nsid w:val="71C91298"/>
    <w:multiLevelType w:val="hybridMultilevel"/>
    <w:lvl w:ilvl="0">
      <w:lvlJc w:val="left"/>
      <w:lvlText w:val="(%1)"/>
      <w:numFmt w:val="lowerLetter"/>
      <w:start w:val="1"/>
    </w:lvl>
    <w:lvl w:ilvl="1">
      <w:lvlJc w:val="left"/>
      <w:lvlText w:val="(%2)"/>
      <w:numFmt w:val="lowerLetter"/>
      <w:start w:val="9"/>
    </w:lvl>
  </w:abstractNum>
  <w:abstractNum w:abstractNumId="82">
    <w:nsid w:val="9DAF63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83">
    <w:nsid w:val="5329993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84">
    <w:nsid w:val="1FBFE8E0"/>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5">
    <w:nsid w:val="5092CA79"/>
    <w:multiLevelType w:val="hybridMultilevel"/>
    <w:lvl w:ilvl="0">
      <w:lvlJc w:val="left"/>
      <w:lvlText w:val="(%1)"/>
      <w:numFmt w:val="lowerLetter"/>
      <w:start w:val="1"/>
    </w:lvl>
    <w:lvl w:ilvl="1">
      <w:lvlJc w:val="left"/>
      <w:lvlText w:val="(%2)"/>
      <w:numFmt w:val="lowerRoman"/>
      <w:start w:val="1"/>
    </w:lvl>
  </w:abstractNum>
  <w:abstractNum w:abstractNumId="86">
    <w:nsid w:val="1D545C4D"/>
    <w:multiLevelType w:val="hybridMultilevel"/>
    <w:lvl w:ilvl="0">
      <w:lvlJc w:val="left"/>
      <w:lvlText w:val="(%1)"/>
      <w:numFmt w:val="lowerLetter"/>
      <w:start w:val="5"/>
    </w:lvl>
  </w:abstractNum>
  <w:abstractNum w:abstractNumId="87">
    <w:nsid w:val="59ADEA3D"/>
    <w:multiLevelType w:val="hybridMultilevel"/>
    <w:lvl w:ilvl="0">
      <w:lvlJc w:val="left"/>
      <w:lvlText w:val="(%1)"/>
      <w:numFmt w:val="lowerLetter"/>
      <w:start w:val="1"/>
    </w:lvl>
  </w:abstractNum>
  <w:abstractNum w:abstractNumId="88">
    <w:nsid w:val="288F1A34"/>
    <w:multiLevelType w:val="hybridMultilevel"/>
    <w:lvl w:ilvl="0">
      <w:lvlJc w:val="left"/>
      <w:lvlText w:val="(%1)"/>
      <w:numFmt w:val="lowerLetter"/>
      <w:start w:val="4"/>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2"/>
    </w:lvl>
  </w:abstractNum>
  <w:abstractNum w:abstractNumId="91">
    <w:nsid w:val="97E1B4E"/>
    <w:multiLevelType w:val="hybridMultilevel"/>
    <w:lvl w:ilvl="0">
      <w:lvlJc w:val="left"/>
      <w:lvlText w:val="%1"/>
      <w:numFmt w:val="decimal"/>
      <w:start w:val="1"/>
    </w:lvl>
    <w:lvl w:ilvl="1">
      <w:lvlJc w:val="left"/>
      <w:lvlText w:val="(%2)"/>
      <w:numFmt w:val="lowerLetter"/>
      <w:start w:val="1"/>
    </w:lvl>
  </w:abstractNum>
  <w:abstractNum w:abstractNumId="92">
    <w:nsid w:val="51088277"/>
    <w:multiLevelType w:val="hybridMultilevel"/>
    <w:lvl w:ilvl="0">
      <w:lvlJc w:val="left"/>
      <w:lvlText w:val="(%1)"/>
      <w:numFmt w:val="decimal"/>
      <w:start w:val="2"/>
    </w:lvl>
    <w:lvl w:ilvl="1">
      <w:lvlJc w:val="left"/>
      <w:lvlText w:val="(%2)"/>
      <w:numFmt w:val="lowerLetter"/>
      <w:start w:val="2"/>
    </w:lvl>
  </w:abstractNum>
  <w:abstractNum w:abstractNumId="93">
    <w:nsid w:val="1CA0C5FA"/>
    <w:multiLevelType w:val="hybridMultilevel"/>
    <w:lvl w:ilvl="0">
      <w:lvlJc w:val="left"/>
      <w:lvlText w:val="(%1)"/>
      <w:numFmt w:val="lowerLetter"/>
      <w:start w:val="3"/>
    </w:lvl>
  </w:abstractNum>
  <w:abstractNum w:abstractNumId="94">
    <w:nsid w:val="53584BCB"/>
    <w:multiLevelType w:val="hybridMultilevel"/>
    <w:lvl w:ilvl="0">
      <w:lvlJc w:val="left"/>
      <w:lvlText w:val="(%1)"/>
      <w:numFmt w:val="lowerRoman"/>
      <w:start w:val="1"/>
    </w:lvl>
    <w:lvl w:ilvl="1">
      <w:lvlJc w:val="left"/>
      <w:lvlText w:val="(%2)"/>
      <w:numFmt w:val="upperLetter"/>
      <w:start w:val="1"/>
    </w:lvl>
  </w:abstractNum>
  <w:abstractNum w:abstractNumId="95">
    <w:nsid w:val="415E286C"/>
    <w:multiLevelType w:val="hybridMultilevel"/>
    <w:lvl w:ilvl="0">
      <w:lvlJc w:val="left"/>
      <w:lvlText w:val="%1"/>
      <w:numFmt w:val="lowerLetter"/>
      <w:start w:val="1"/>
    </w:lvl>
    <w:lvl w:ilvl="1">
      <w:lvlJc w:val="left"/>
      <w:lvlText w:val="(%2)"/>
      <w:numFmt w:val="lowerLetter"/>
      <w:start w:val="9"/>
    </w:lvl>
  </w:abstractNum>
  <w:abstractNum w:abstractNumId="96">
    <w:nsid w:val="7C58FD05"/>
    <w:multiLevelType w:val="hybridMultilevel"/>
    <w:lvl w:ilvl="0">
      <w:lvlJc w:val="left"/>
      <w:lvlText w:val="(%1)"/>
      <w:numFmt w:val="lowerLetter"/>
      <w:start w:val="6"/>
    </w:lvl>
    <w:lvl w:ilvl="1">
      <w:lvlJc w:val="left"/>
      <w:lvlText w:val="%2"/>
      <w:numFmt w:val="lowerLetter"/>
      <w:start w:val="1"/>
    </w:lvl>
  </w:abstractNum>
  <w:abstractNum w:abstractNumId="97">
    <w:nsid w:val="23D86AAC"/>
    <w:multiLevelType w:val="hybridMultilevel"/>
    <w:lvl w:ilvl="0">
      <w:lvlJc w:val="left"/>
      <w:lvlText w:val="(%1)"/>
      <w:numFmt w:val="lowerLetter"/>
      <w:start w:val="7"/>
    </w:lvl>
  </w:abstractNum>
  <w:abstractNum w:abstractNumId="98">
    <w:nsid w:val="45E6D486"/>
    <w:multiLevelType w:val="hybridMultilevel"/>
    <w:lvl w:ilvl="0">
      <w:lvlJc w:val="left"/>
      <w:lvlText w:val="(%1)"/>
      <w:numFmt w:val="lowerLetter"/>
      <w:start w:val="1"/>
    </w:lvl>
  </w:abstractNum>
  <w:abstractNum w:abstractNumId="99">
    <w:nsid w:val="5C10FE21"/>
    <w:multiLevelType w:val="hybridMultilevel"/>
    <w:lvl w:ilvl="0">
      <w:lvlJc w:val="left"/>
      <w:lvlText w:val="(%1)"/>
      <w:numFmt w:val="lowerLetter"/>
      <w:start w:val="2"/>
    </w:lvl>
  </w:abstractNum>
  <w:abstractNum w:abstractNumId="100">
    <w:nsid w:val="E7FFA2B"/>
    <w:multiLevelType w:val="hybridMultilevel"/>
    <w:lvl w:ilvl="0">
      <w:lvlJc w:val="left"/>
      <w:lvlText w:val="%1"/>
      <w:numFmt w:val="lowerLetter"/>
      <w:start w:val="1"/>
    </w:lvl>
    <w:lvl w:ilvl="1">
      <w:lvlJc w:val="left"/>
      <w:lvlText w:val="(%2)"/>
      <w:numFmt w:val="lowerLetter"/>
      <w:start w:val="1"/>
    </w:lvl>
  </w:abstractNum>
  <w:abstractNum w:abstractNumId="101">
    <w:nsid w:val="3C5991AA"/>
    <w:multiLevelType w:val="hybridMultilevel"/>
    <w:lvl w:ilvl="0">
      <w:lvlJc w:val="left"/>
      <w:lvlText w:val="(%1)"/>
      <w:numFmt w:val="lowerLetter"/>
      <w:start w:val="35"/>
    </w:lvl>
    <w:lvl w:ilvl="1">
      <w:lvlJc w:val="left"/>
      <w:lvlText w:val="(%2)"/>
      <w:numFmt w:val="lowerLetter"/>
      <w:start w:val="3"/>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4">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5">
    <w:nsid w:val="2B0D8DBE"/>
    <w:multiLevelType w:val="hybridMultilevel"/>
    <w:lvl w:ilvl="0">
      <w:lvlJc w:val="left"/>
      <w:lvlText w:val="(%1)"/>
      <w:numFmt w:val="lowerLetter"/>
      <w:start w:val="4"/>
    </w:lvl>
  </w:abstractNum>
  <w:abstractNum w:abstractNumId="106">
    <w:nsid w:val="6C80EC70"/>
    <w:multiLevelType w:val="hybridMultilevel"/>
    <w:lvl w:ilvl="0">
      <w:lvlJc w:val="left"/>
      <w:lvlText w:val="(%1)"/>
      <w:numFmt w:val="lowerLetter"/>
      <w:start w:val="8"/>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lowerLetter"/>
      <w:start w:val="2"/>
    </w:lvl>
  </w:abstractNum>
  <w:abstractNum w:abstractNumId="109">
    <w:nsid w:val="2C27173B"/>
    <w:multiLevelType w:val="hybridMultilevel"/>
    <w:lvl w:ilvl="0">
      <w:lvlJc w:val="left"/>
      <w:lvlText w:val="%1"/>
      <w:numFmt w:val="lowerLetter"/>
      <w:start w:val="1"/>
    </w:lvl>
    <w:lvl w:ilvl="1">
      <w:lvlJc w:val="left"/>
      <w:lvlText w:val="(%2)"/>
      <w:numFmt w:val="lowerLetter"/>
      <w:start w:val="1"/>
    </w:lvl>
  </w:abstractNum>
  <w:abstractNum w:abstractNumId="110">
    <w:nsid w:val="4C9B0904"/>
    <w:multiLevelType w:val="hybridMultilevel"/>
    <w:lvl w:ilvl="0">
      <w:lvlJc w:val="left"/>
      <w:lvlText w:val="(%1)"/>
      <w:numFmt w:val="lowerLetter"/>
      <w:start w:val="61"/>
    </w:lvl>
    <w:lvl w:ilvl="1">
      <w:lvlJc w:val="left"/>
      <w:lvlText w:val="%2"/>
      <w:numFmt w:val="lowerLetter"/>
      <w:start w:val="1"/>
    </w:lvl>
  </w:abstractNum>
  <w:abstractNum w:abstractNumId="111">
    <w:nsid w:val="6AA7B75C"/>
    <w:multiLevelType w:val="hybridMultilevel"/>
    <w:lvl w:ilvl="0">
      <w:lvlJc w:val="left"/>
      <w:lvlText w:val="(%1)"/>
      <w:numFmt w:val="lowerLetter"/>
      <w:start w:val="2"/>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lowerLetter"/>
      <w:start w:val="1"/>
    </w:lvl>
  </w:abstractNum>
  <w:abstractNum w:abstractNumId="114">
    <w:nsid w:val="3DD15094"/>
    <w:multiLevelType w:val="hybridMultilevel"/>
    <w:lvl w:ilvl="0">
      <w:lvlJc w:val="left"/>
      <w:lvlText w:val="(%1)"/>
      <w:numFmt w:val="lowerLetter"/>
      <w:start w:val="1"/>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lowerLetter"/>
      <w:start w:val="5"/>
    </w:lvl>
  </w:abstractNum>
  <w:abstractNum w:abstractNumId="118">
    <w:nsid w:val="175DFCF0"/>
    <w:multiLevelType w:val="hybridMultilevel"/>
    <w:lvl w:ilvl="0">
      <w:lvlJc w:val="left"/>
      <w:lvlText w:val="(%1)"/>
      <w:numFmt w:val="lowerLetter"/>
      <w:start w:val="1"/>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lowerLetter"/>
      <w:start w:val="1"/>
    </w:lvl>
  </w:abstractNum>
  <w:abstractNum w:abstractNumId="121">
    <w:nsid w:val="34FD6B4F"/>
    <w:multiLevelType w:val="hybridMultilevel"/>
    <w:lvl w:ilvl="0">
      <w:lvlJc w:val="left"/>
      <w:lvlText w:val="(%1)"/>
      <w:numFmt w:val="lowerLetter"/>
      <w:start w:val="2"/>
    </w:lvl>
  </w:abstractNum>
  <w:abstractNum w:abstractNumId="122">
    <w:nsid w:val="5915FF32"/>
    <w:multiLevelType w:val="hybridMultilevel"/>
    <w:lvl w:ilvl="0">
      <w:lvlJc w:val="left"/>
      <w:lvlText w:val="(%1)"/>
      <w:numFmt w:val="lowerLetter"/>
      <w:start w:val="1"/>
    </w:lvl>
  </w:abstractNum>
  <w:abstractNum w:abstractNumId="123">
    <w:nsid w:val="56438D15"/>
    <w:multiLevelType w:val="hybridMultilevel"/>
    <w:lvl w:ilvl="0">
      <w:lvlJc w:val="left"/>
      <w:lvlText w:val="(%1)"/>
      <w:numFmt w:val="lowerRoman"/>
      <w:start w:val="10"/>
    </w:lvl>
  </w:abstractNum>
  <w:abstractNum w:abstractNumId="124">
    <w:nsid w:val="519E3149"/>
    <w:multiLevelType w:val="hybridMultilevel"/>
    <w:lvl w:ilvl="0">
      <w:lvlJc w:val="left"/>
      <w:lvlText w:val="(%1)"/>
      <w:numFmt w:val="lowerRoman"/>
      <w:start w:val="4"/>
    </w:lvl>
  </w:abstractNum>
  <w:abstractNum w:abstractNumId="125">
    <w:nsid w:val="2C6E4AFD"/>
    <w:multiLevelType w:val="hybridMultilevel"/>
    <w:lvl w:ilvl="0">
      <w:lvlJc w:val="left"/>
      <w:lvlText w:val="·"/>
      <w:numFmt w:val="bullet"/>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2022-11-07T16:39:30Z</dcterms:created>
  <dcterms:modified xsi:type="dcterms:W3CDTF">2022-11-07T16:39:30Z</dcterms:modified>
</cp:coreProperties>
</file>