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318213d1_8k.htm"/>
      <w:bookmarkStart w:id="1" w:name="kstm231821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E_edei--DocumentType_c20230607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June 7,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3"/>
      <w:bookmarkEnd w:id="4"/>
      <w:r>
        <w:rPr>
          <w:rFonts w:ascii="Times New Roman;Times;Serif" w:hAnsi="Times New Roman;Times;Serif"/>
          <w:b/>
          <w:i w:val="false"/>
          <w:caps w:val="false"/>
          <w:smallCaps w:val="false"/>
          <w:sz w:val="36"/>
        </w:rPr>
        <w:t>LORDSTOWN MOTORS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165"/>
        <w:gridCol w:w="110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30607"/>
            <w:bookmarkEnd w:id="6"/>
            <w:r>
              <w:rPr>
                <w:rFonts w:ascii="Times New Roman;Times;Serif" w:hAnsi="Times New Roman;Times;Serif"/>
                <w:b/>
                <w:i w:val="false"/>
                <w:caps w:val="false"/>
                <w:smallCaps w:val="false"/>
                <w:sz w:val="20"/>
              </w:rPr>
              <w:t>001-38821</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83-2533239</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2300 Hallock Young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Lordstown, </w:t>
      </w:r>
      <w:bookmarkStart w:id="10" w:name="xdx_90A_edei--EntityAddressStateOrProvin"/>
      <w:bookmarkEnd w:id="10"/>
      <w:r>
        <w:rPr>
          <w:rFonts w:ascii="Times New Roman;Times;Serif" w:hAnsi="Times New Roman;Times;Serif"/>
          <w:b/>
          <w:i w:val="false"/>
          <w:caps w:val="false"/>
          <w:smallCaps w:val="false"/>
          <w:sz w:val="20"/>
        </w:rPr>
        <w:t xml:space="preserve">Ohio </w:t>
      </w:r>
      <w:bookmarkStart w:id="11" w:name="xdx_90F_edei--EntityAddressPostalZipCode"/>
      <w:bookmarkEnd w:id="11"/>
      <w:r>
        <w:rPr>
          <w:rFonts w:ascii="Times New Roman;Times;Serif" w:hAnsi="Times New Roman;Times;Serif"/>
          <w:b/>
          <w:i w:val="false"/>
          <w:caps w:val="false"/>
          <w:smallCaps w:val="false"/>
          <w:sz w:val="20"/>
        </w:rPr>
        <w:t>44481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6_edei--CityAreaCode_c20230607__20"/>
      <w:bookmarkEnd w:id="12"/>
      <w:r>
        <w:rPr>
          <w:rFonts w:ascii="Times New Roman;Times;Serif" w:hAnsi="Times New Roman;Times;Serif"/>
          <w:b/>
          <w:i w:val="false"/>
          <w:caps w:val="false"/>
          <w:smallCaps w:val="false"/>
          <w:sz w:val="20"/>
        </w:rPr>
        <w:t xml:space="preserve">234) </w:t>
      </w:r>
      <w:bookmarkStart w:id="13" w:name="xdx_907_edei--LocalPhoneNumber_c20230607"/>
      <w:bookmarkEnd w:id="13"/>
      <w:r>
        <w:rPr>
          <w:rFonts w:ascii="Times New Roman;Times;Serif" w:hAnsi="Times New Roman;Times;Serif"/>
          <w:b/>
          <w:i w:val="false"/>
          <w:caps w:val="false"/>
          <w:smallCaps w:val="false"/>
          <w:sz w:val="20"/>
        </w:rPr>
        <w:t>285-4001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9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C_edei--SolicitingMaterial_c202306"/>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A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0" w:type="dxa"/>
        <w:tblLayout w:type="fixed"/>
        <w:tblCellMar>
          <w:top w:w="0" w:type="dxa"/>
          <w:left w:w="0" w:type="dxa"/>
          <w:bottom w:w="28" w:type="dxa"/>
          <w:right w:w="0" w:type="dxa"/>
        </w:tblCellMar>
      </w:tblPr>
      <w:tblGrid>
        <w:gridCol w:w="4205"/>
        <w:gridCol w:w="60"/>
        <w:gridCol w:w="860"/>
        <w:gridCol w:w="60"/>
        <w:gridCol w:w="2810"/>
      </w:tblGrid>
      <w:tr>
        <w:trPr/>
        <w:tc>
          <w:tcPr>
            <w:tcW w:w="4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42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 w:name="xdx_902_edei--Security12bTitle_c20230607"/>
            <w:bookmarkEnd w:id="18"/>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30607__2"/>
            <w:bookmarkEnd w:id="19"/>
            <w:r>
              <w:rPr>
                <w:rFonts w:ascii="Times New Roman;Times;Serif" w:hAnsi="Times New Roman;Times;Serif"/>
                <w:b w:val="false"/>
                <w:i w:val="false"/>
                <w:caps w:val="false"/>
                <w:smallCaps w:val="false"/>
                <w:sz w:val="20"/>
              </w:rPr>
              <w:t>RIDE</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SecurityExchangeName_c2023"/>
            <w:bookmarkEnd w:id="20"/>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11D1E"/>
          <w:sz w:val="20"/>
        </w:rPr>
      </w:pPr>
      <w:r>
        <w:rPr>
          <w:rFonts w:ascii="Times New Roman;Times;Serif" w:hAnsi="Times New Roman;Times;Serif"/>
          <w:b w:val="false"/>
          <w:i w:val="false"/>
          <w:caps w:val="false"/>
          <w:smallCaps w:val="false"/>
          <w:color w:val="211D1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425" w:type="dxa"/>
        <w:jc w:val="left"/>
        <w:tblInd w:w="0" w:type="dxa"/>
        <w:shd w:fill="FFFFFF" w:val="clear"/>
        <w:tblLayout w:type="fixed"/>
        <w:tblCellMar>
          <w:top w:w="0" w:type="dxa"/>
          <w:left w:w="0" w:type="dxa"/>
          <w:bottom w:w="0" w:type="dxa"/>
          <w:right w:w="0" w:type="dxa"/>
        </w:tblCellMar>
      </w:tblPr>
      <w:tblGrid>
        <w:gridCol w:w="980"/>
        <w:gridCol w:w="1445"/>
      </w:tblGrid>
      <w:tr>
        <w:trPr/>
        <w:tc>
          <w:tcPr>
            <w:tcW w:w="980" w:type="dxa"/>
            <w:tcBorders/>
            <w:shd w:fill="FFFFFF" w:val="clear"/>
            <w:vAlign w:val="center"/>
          </w:tcPr>
          <w:p>
            <w:pPr>
              <w:pStyle w:val="TableContents"/>
              <w:bidi w:val="0"/>
              <w:spacing w:before="0" w:after="283"/>
              <w:jc w:val="left"/>
              <w:rPr>
                <w:b/>
              </w:rPr>
            </w:pPr>
            <w:r>
              <w:rPr>
                <w:b/>
              </w:rPr>
              <w:t>Item 8.01</w:t>
            </w:r>
          </w:p>
        </w:tc>
        <w:tc>
          <w:tcPr>
            <w:tcW w:w="1445" w:type="dxa"/>
            <w:tcBorders/>
            <w:shd w:fill="FFFFFF" w:val="clear"/>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2023, the Company received a written notice from the Listing Qualifications Department of The Nasdaq Stock Market LLC (“Nasdaq”) informing the Company that the matters raised in Nasdaq’s April 19, 2023 letter regarding the $1.00 minimum bid price requirement set forth in Nasdaq Listing Rule 5450(a)(1) for continued listing on The Nasdaq Global Select Market (the “Bid Price Requirement”) were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and Foxconn (as defined below) have a dispute concerning whether the April 19 Nasdaq letter regarding the Bid Price Requirement caused a failure of a condition to closing Foxconn’s purchase of approximately 10% of the Company’s Class A common stock for $47.3 million (the “Subsequent Common Closing”). The Company believes that there was no failure of any closing condition and, in any event, the Bid Price Requirement has been met and the Company remains ready, willing and able to close the transaction as originally required by the Investment Agreement (the “Investment Agreement”) entered into by the Company on November 7, 2022 with Foxconn Ventures Pte. Ltd., an affiliate of global technology company Hon Hai Technology Group (“Foxconn”).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2023, the Company received the letter attached hereto as Exhibit 99.1 in which Foxconn did not acknowledge its obligation to complete the Subsequent Common Closing and instead asserted that Foxconn’s reading of the Investment Agreement would not allow for the adjustment of the number of shares to be purchased on account of the Company’s recent reverse stock split. Foxconn’s interpretation would give Foxconn the right to purchase a windfall of over 60% of the Company’s Class A common stock for $47.3 million. The Company rejects Foxconn’s interpretation of the Investment Agreement and has so advised Foxconn in a letter dated June 7, 2023 attached hereto as 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set forth in Exhibit 99.1 and Exhibit 99.2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Foxconn’s conduct, the Company believes that it is unlikely that Foxconn will complete the Subsequent Common Closing. The Company believes that Foxconn’s various breaches of the Investment Agreement and pattern of bad faith have caused material and irreparable harm to the Company. Absent a prompt resolution, the Company intends to enforce its rights through litigation.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 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press release, those factors include, but are not limited to: the substantial doubt about our ability to continue as a going concern, which requires us to manage costs and obtain significant additional funding; our interpretation of the Investment Agreement; our ability to complete the Subsequent Common Closing and otherwise resolve our dispute with Foxconn; our ability to timely obtain necessary funding to continue our operations; and the irreparable harm to the Company that may be caused by Foxconn’s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uncertainties, there is substantial doubt regarding our ability to continue as a going concern. Our ability to obtain additional financing is extremely limited under current market conditions, in particular for our industry, and also influenced by other factors including the significant amount of capital required, the Foxconn dispute, the fact that the bill of materials cost of the Endurance is currently, and expected to continue to be, substantially higher than our selling price, uncertainty surrounding the performance of any vehicle produced by us, meaningful exposure to material losses and costs related to ongoing litigation and the SEC investigation, the market price of our stock and potential dilution from the issuance of any additional securities. If we are unable to resolve our dispute with Foxconn in a timely manner on terms that allow us to continue operating as planned, identify other sources of substantial funding, identify a strategic partner and resolve our significant contingent liabilities, we may need to further curtail or cease operations and seek protection by filing a voluntary petition for relief under the United States Bankruptcy Code. If we file for bankruptcy protection, our ability to develop and execute our business plan, continue as a going concern, and generate value for stakeholders, if any, will be subject to the risks and uncertainties associated with bankruptcy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on potential factors that could affect the Company and its forward-looking statements is included in the Company’s Form 10-K, Form 10-Q and subsequent filings with the SEC.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report.</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shd w:fill="FFFFFF" w:val="clear"/>
        <w:tblLayout w:type="fixed"/>
        <w:tblCellMar>
          <w:top w:w="0" w:type="dxa"/>
          <w:left w:w="0" w:type="dxa"/>
          <w:bottom w:w="0" w:type="dxa"/>
          <w:right w:w="0" w:type="dxa"/>
        </w:tblCellMar>
      </w:tblPr>
      <w:tblGrid>
        <w:gridCol w:w="980"/>
        <w:gridCol w:w="3560"/>
      </w:tblGrid>
      <w:tr>
        <w:trPr/>
        <w:tc>
          <w:tcPr>
            <w:tcW w:w="980" w:type="dxa"/>
            <w:tcBorders/>
            <w:shd w:fill="FFFFFF" w:val="clear"/>
            <w:vAlign w:val="center"/>
          </w:tcPr>
          <w:p>
            <w:pPr>
              <w:pStyle w:val="TableContents"/>
              <w:bidi w:val="0"/>
              <w:spacing w:before="0" w:after="283"/>
              <w:jc w:val="left"/>
              <w:rPr>
                <w:b/>
              </w:rPr>
            </w:pPr>
            <w:r>
              <w:rPr>
                <w:b/>
              </w:rPr>
              <w:t>Item 9.01</w:t>
            </w:r>
          </w:p>
        </w:tc>
        <w:tc>
          <w:tcPr>
            <w:tcW w:w="3560" w:type="dxa"/>
            <w:tcBorders/>
            <w:shd w:fill="FFFFFF" w:val="clear"/>
            <w:vAlign w:val="center"/>
          </w:tcPr>
          <w:p>
            <w:pPr>
              <w:pStyle w:val="TableContents"/>
              <w:bidi w:val="0"/>
              <w:spacing w:before="0" w:after="283"/>
              <w:jc w:val="left"/>
              <w:rPr>
                <w:b/>
              </w:rPr>
            </w:pPr>
            <w:r>
              <w:rPr>
                <w:b/>
              </w:rPr>
              <w:t>Financial Statements and 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shd w:fill="FFFFFF" w:val="clear"/>
        <w:tblLayout w:type="fixed"/>
        <w:tblCellMar>
          <w:top w:w="0" w:type="dxa"/>
          <w:left w:w="0" w:type="dxa"/>
          <w:bottom w:w="0" w:type="dxa"/>
          <w:right w:w="0" w:type="dxa"/>
        </w:tblCellMar>
      </w:tblPr>
      <w:tblGrid>
        <w:gridCol w:w="890"/>
        <w:gridCol w:w="60"/>
        <w:gridCol w:w="5795"/>
      </w:tblGrid>
      <w:tr>
        <w:trPr/>
        <w:tc>
          <w:tcPr>
            <w:tcW w:w="890" w:type="dxa"/>
            <w:tcBorders/>
            <w:shd w:fill="FFFFFF" w:val="clear"/>
            <w:vAlign w:val="center"/>
          </w:tcPr>
          <w:p>
            <w:pPr>
              <w:pStyle w:val="TableContents"/>
              <w:bidi w:val="0"/>
              <w:spacing w:before="0" w:after="283"/>
              <w:jc w:val="left"/>
              <w:rPr>
                <w:b/>
              </w:rPr>
            </w:pPr>
            <w:r>
              <w:rPr>
                <w:b/>
              </w:rPr>
              <w:t>Exhibit</w:t>
              <w:br/>
              <w:t>Number</w:t>
            </w:r>
          </w:p>
        </w:tc>
        <w:tc>
          <w:tcPr>
            <w:tcW w:w="60" w:type="dxa"/>
            <w:tcBorders/>
            <w:shd w:fill="FFFFFF" w:val="clear"/>
            <w:vAlign w:val="center"/>
          </w:tcPr>
          <w:p>
            <w:pPr>
              <w:pStyle w:val="TableContents"/>
              <w:bidi w:val="0"/>
              <w:spacing w:before="0" w:after="283"/>
              <w:jc w:val="left"/>
              <w:rPr/>
            </w:pPr>
            <w:r>
              <w:rPr/>
              <w:t> </w:t>
            </w:r>
          </w:p>
        </w:tc>
        <w:tc>
          <w:tcPr>
            <w:tcW w:w="5795" w:type="dxa"/>
            <w:tcBorders/>
            <w:shd w:fill="FFFFFF" w:val="clear"/>
            <w:vAlign w:val="center"/>
          </w:tcPr>
          <w:p>
            <w:pPr>
              <w:pStyle w:val="TableContents"/>
              <w:bidi w:val="0"/>
              <w:spacing w:before="0" w:after="283"/>
              <w:jc w:val="left"/>
              <w:rPr>
                <w:b/>
              </w:rPr>
            </w:pPr>
            <w:r>
              <w:rPr>
                <w:b/>
              </w:rPr>
              <w:t>Description</w:t>
            </w:r>
          </w:p>
        </w:tc>
      </w:tr>
      <w:tr>
        <w:trPr/>
        <w:tc>
          <w:tcPr>
            <w:tcW w:w="890" w:type="dxa"/>
            <w:tcBorders/>
            <w:shd w:fill="FFFFFF" w:val="clear"/>
            <w:vAlign w:val="center"/>
          </w:tcPr>
          <w:p>
            <w:pPr>
              <w:pStyle w:val="TableContents"/>
              <w:bidi w:val="0"/>
              <w:spacing w:before="0" w:after="283"/>
              <w:jc w:val="left"/>
              <w:rPr/>
            </w:pPr>
            <w:hyperlink w:anchor="tm2318213d1_ex99-1.htm">
              <w:r>
                <w:rPr>
                  <w:rStyle w:val="InternetLink"/>
                </w:rPr>
                <w:t>99.1</w:t>
              </w:r>
            </w:hyperlink>
          </w:p>
        </w:tc>
        <w:tc>
          <w:tcPr>
            <w:tcW w:w="60" w:type="dxa"/>
            <w:tcBorders/>
            <w:shd w:fill="FFFFFF" w:val="clear"/>
            <w:vAlign w:val="center"/>
          </w:tcPr>
          <w:p>
            <w:pPr>
              <w:pStyle w:val="TableContents"/>
              <w:bidi w:val="0"/>
              <w:spacing w:before="0" w:after="283"/>
              <w:jc w:val="left"/>
              <w:rPr/>
            </w:pPr>
            <w:r>
              <w:rPr/>
              <w:t> </w:t>
            </w:r>
          </w:p>
        </w:tc>
        <w:tc>
          <w:tcPr>
            <w:tcW w:w="5795" w:type="dxa"/>
            <w:tcBorders/>
            <w:shd w:fill="FFFFFF" w:val="clear"/>
            <w:vAlign w:val="center"/>
          </w:tcPr>
          <w:p>
            <w:pPr>
              <w:pStyle w:val="TableContents"/>
              <w:bidi w:val="0"/>
              <w:spacing w:before="0" w:after="283"/>
              <w:jc w:val="left"/>
              <w:rPr/>
            </w:pPr>
            <w:hyperlink w:anchor="tm2318213d1_ex99-1.htm">
              <w:r>
                <w:rPr>
                  <w:rStyle w:val="InternetLink"/>
                </w:rPr>
                <w:t>Letter from Foxconn to the Company dated June 5, 2023</w:t>
              </w:r>
            </w:hyperlink>
          </w:p>
        </w:tc>
      </w:tr>
      <w:tr>
        <w:trPr/>
        <w:tc>
          <w:tcPr>
            <w:tcW w:w="890" w:type="dxa"/>
            <w:tcBorders/>
            <w:shd w:fill="FFFFFF" w:val="clear"/>
            <w:vAlign w:val="center"/>
          </w:tcPr>
          <w:p>
            <w:pPr>
              <w:pStyle w:val="TableContents"/>
              <w:bidi w:val="0"/>
              <w:spacing w:before="0" w:after="283"/>
              <w:jc w:val="left"/>
              <w:rPr/>
            </w:pPr>
            <w:hyperlink w:anchor="tm2318213d1_ex99-2.htm">
              <w:r>
                <w:rPr>
                  <w:rStyle w:val="InternetLink"/>
                </w:rPr>
                <w:t>99.2</w:t>
              </w:r>
            </w:hyperlink>
          </w:p>
        </w:tc>
        <w:tc>
          <w:tcPr>
            <w:tcW w:w="60" w:type="dxa"/>
            <w:tcBorders/>
            <w:shd w:fill="FFFFFF" w:val="clear"/>
            <w:vAlign w:val="center"/>
          </w:tcPr>
          <w:p>
            <w:pPr>
              <w:pStyle w:val="TableContents"/>
              <w:bidi w:val="0"/>
              <w:spacing w:before="0" w:after="283"/>
              <w:jc w:val="left"/>
              <w:rPr/>
            </w:pPr>
            <w:r>
              <w:rPr/>
              <w:t> </w:t>
            </w:r>
          </w:p>
        </w:tc>
        <w:tc>
          <w:tcPr>
            <w:tcW w:w="5795" w:type="dxa"/>
            <w:tcBorders/>
            <w:shd w:fill="FFFFFF" w:val="clear"/>
            <w:vAlign w:val="center"/>
          </w:tcPr>
          <w:p>
            <w:pPr>
              <w:pStyle w:val="TableContents"/>
              <w:bidi w:val="0"/>
              <w:spacing w:before="0" w:after="283"/>
              <w:jc w:val="left"/>
              <w:rPr/>
            </w:pPr>
            <w:hyperlink w:anchor="tm2318213d1_ex99-2.htm">
              <w:r>
                <w:rPr>
                  <w:rStyle w:val="InternetLink"/>
                </w:rPr>
                <w:t>Letter from the Company to Foxconn dated June 7, 2023</w:t>
              </w:r>
            </w:hyperlink>
          </w:p>
        </w:tc>
      </w:tr>
      <w:tr>
        <w:trPr/>
        <w:tc>
          <w:tcPr>
            <w:tcW w:w="890" w:type="dxa"/>
            <w:tcBorders/>
            <w:shd w:fill="FFFFFF" w:val="clear"/>
            <w:vAlign w:val="center"/>
          </w:tcPr>
          <w:p>
            <w:pPr>
              <w:pStyle w:val="TableContents"/>
              <w:bidi w:val="0"/>
              <w:spacing w:before="0" w:after="283"/>
              <w:jc w:val="left"/>
              <w:rPr/>
            </w:pPr>
            <w:r>
              <w:rPr/>
              <w:t>104</w:t>
            </w:r>
          </w:p>
        </w:tc>
        <w:tc>
          <w:tcPr>
            <w:tcW w:w="60" w:type="dxa"/>
            <w:tcBorders/>
            <w:shd w:fill="FFFFFF" w:val="clear"/>
            <w:vAlign w:val="center"/>
          </w:tcPr>
          <w:p>
            <w:pPr>
              <w:pStyle w:val="TableContents"/>
              <w:bidi w:val="0"/>
              <w:spacing w:before="0" w:after="283"/>
              <w:jc w:val="left"/>
              <w:rPr/>
            </w:pPr>
            <w:r>
              <w:rPr/>
              <w:t> </w:t>
            </w:r>
          </w:p>
        </w:tc>
        <w:tc>
          <w:tcPr>
            <w:tcW w:w="5795" w:type="dxa"/>
            <w:tcBorders/>
            <w:shd w:fill="FFFFFF" w:val="cle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94" w:type="dxa"/>
        <w:jc w:val="left"/>
        <w:tblInd w:w="0" w:type="dxa"/>
        <w:tblLayout w:type="fixed"/>
        <w:tblCellMar>
          <w:top w:w="0" w:type="dxa"/>
          <w:left w:w="0" w:type="dxa"/>
          <w:bottom w:w="0" w:type="dxa"/>
          <w:right w:w="0" w:type="dxa"/>
        </w:tblCellMar>
      </w:tblPr>
      <w:tblGrid>
        <w:gridCol w:w="1820"/>
        <w:gridCol w:w="808"/>
        <w:gridCol w:w="2766"/>
      </w:tblGrid>
      <w:tr>
        <w:trPr/>
        <w:tc>
          <w:tcPr>
            <w:tcW w:w="1820"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b/>
              </w:rPr>
            </w:pPr>
            <w:r>
              <w:rPr>
                <w:b/>
              </w:rPr>
              <w:t>LORDSTOWN MOTORS CORP.</w:t>
            </w:r>
          </w:p>
        </w:tc>
      </w:tr>
      <w:tr>
        <w:trPr/>
        <w:tc>
          <w:tcPr>
            <w:tcW w:w="182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c>
          <w:tcPr>
            <w:tcW w:w="2766"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By:</w:t>
            </w:r>
          </w:p>
        </w:tc>
        <w:tc>
          <w:tcPr>
            <w:tcW w:w="2766" w:type="dxa"/>
            <w:tcBorders>
              <w:bottom w:val="single" w:sz="8" w:space="0" w:color="000000"/>
            </w:tcBorders>
            <w:tcMar>
              <w:bottom w:w="28" w:type="dxa"/>
            </w:tcMar>
            <w:vAlign w:val="center"/>
          </w:tcPr>
          <w:p>
            <w:pPr>
              <w:pStyle w:val="TableContents"/>
              <w:bidi w:val="0"/>
              <w:spacing w:before="0" w:after="283"/>
              <w:jc w:val="left"/>
              <w:rPr/>
            </w:pPr>
            <w:r>
              <w:rPr/>
              <w:t>/s/ Adam Kroll</w:t>
            </w:r>
          </w:p>
        </w:tc>
      </w:tr>
      <w:tr>
        <w:trPr/>
        <w:tc>
          <w:tcPr>
            <w:tcW w:w="182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Name:</w:t>
            </w:r>
          </w:p>
        </w:tc>
        <w:tc>
          <w:tcPr>
            <w:tcW w:w="2766" w:type="dxa"/>
            <w:tcBorders/>
            <w:vAlign w:val="center"/>
          </w:tcPr>
          <w:p>
            <w:pPr>
              <w:pStyle w:val="TableContents"/>
              <w:bidi w:val="0"/>
              <w:spacing w:before="0" w:after="283"/>
              <w:jc w:val="left"/>
              <w:rPr/>
            </w:pPr>
            <w:r>
              <w:rPr/>
              <w:t>Adam Kroll</w:t>
            </w:r>
          </w:p>
        </w:tc>
      </w:tr>
      <w:tr>
        <w:trPr/>
        <w:tc>
          <w:tcPr>
            <w:tcW w:w="182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Title:</w:t>
            </w:r>
          </w:p>
        </w:tc>
        <w:tc>
          <w:tcPr>
            <w:tcW w:w="2766" w:type="dxa"/>
            <w:tcBorders/>
            <w:vAlign w:val="center"/>
          </w:tcPr>
          <w:p>
            <w:pPr>
              <w:pStyle w:val="TableContents"/>
              <w:bidi w:val="0"/>
              <w:spacing w:before="0" w:after="283"/>
              <w:jc w:val="left"/>
              <w:rPr/>
            </w:pPr>
            <w:r>
              <w:rPr/>
              <w:t>Chief Financial Officer</w:t>
            </w:r>
          </w:p>
        </w:tc>
      </w:tr>
      <w:tr>
        <w:trPr/>
        <w:tc>
          <w:tcPr>
            <w:tcW w:w="1820" w:type="dxa"/>
            <w:tcBorders/>
            <w:vAlign w:val="center"/>
          </w:tcPr>
          <w:p>
            <w:pPr>
              <w:pStyle w:val="TableContents"/>
              <w:bidi w:val="0"/>
              <w:spacing w:before="0" w:after="283"/>
              <w:jc w:val="left"/>
              <w:rPr/>
            </w:pPr>
            <w:r>
              <w:rPr/>
              <w:t>Date: June 8, 2023</w:t>
            </w:r>
          </w:p>
        </w:tc>
        <w:tc>
          <w:tcPr>
            <w:tcW w:w="808" w:type="dxa"/>
            <w:tcBorders/>
            <w:vAlign w:val="center"/>
          </w:tcPr>
          <w:p>
            <w:pPr>
              <w:pStyle w:val="TableContents"/>
              <w:bidi w:val="0"/>
              <w:spacing w:before="0" w:after="283"/>
              <w:jc w:val="left"/>
              <w:rPr/>
            </w:pPr>
            <w:r>
              <w:rPr/>
              <w:t> </w:t>
            </w:r>
          </w:p>
        </w:tc>
        <w:tc>
          <w:tcPr>
            <w:tcW w:w="276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318213d1_ex99-1.htm"/>
      <w:bookmarkStart w:id="23" w:name="kstm2318213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20764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560" w:right="65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318-6662</w:t>
      </w:r>
    </w:p>
    <w:p>
      <w:pPr>
        <w:pStyle w:val="TextBody"/>
        <w:bidi w:val="0"/>
        <w:spacing w:before="0" w:after="0"/>
        <w:ind w:left="6560" w:right="65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mikehuang@paulhastings.com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Lauria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&amp; Case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Financial Center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Biscayne Boulevard, Suite 4900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 33131-2352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LMC’s Public Statements re: Subsequent Common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Lauria: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writing concerning certain public statements made by your client, Lordstown Motors Corp. (“LMC”), regarding the purchase rights of my client, Foxconn Ventures Pte. Ltd. (“Foxconn”), under the Investment Agreement by and between LMC and Foxconn dated as of November 7, 2022 (the “Investment Agreement”) following LMC’s announced reverse stock split. LMC’s disclosure incorrectly suggests that Foxconn’s purchase right in the Subsequent Common Closing is limited to ten percent of LMC’s outstanding common stock following LMC’s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5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Subsequent Common Closing is clearly defined in the Investment Agreement. So long as LMC satisfies all conditions precedent, Foxconn: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6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shall purchase and acquire from the Company, and the Company shall issue, sell and deliver to the Investor, 26,855,453 shares of Common Stock (the “Subsequent Common Shares”) for a purchase price per share equal to $1.76 and an aggregate purchase price for the Subsequent Common Shares of $47,265,597 (such aggregate purchase price, the “Subsequent Common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 Agr’t § 2.01(b). The Subsequent Common Closing is intentionally silent on the impact of any stock split on Foxconn’s purchase right. This reflects the parties’ intent that a stock split not have any impact on Foxconn’s purchase right as part of the Subsequent Common Closing. Accordingly, the Subsequent Common Closing does not speak in terms of the percentage of outstanding common stock that Foxconn is entitled to purchase at the closing. Rather, the Investment Agreement very directly states that “the Company shall issue, sell and deliver to the Investor, 26,855,453 shares of Common Stock . . . for a purchase price per share equal to $1.76” without any limitation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when discussing the reverse stock split in its Form 8-K filed on May 23, 2023, LMC made reference to “Foxconn’s purchase of approximately 10% of the [LMC’s] common stock for $47.3 million.” See Form 8-K at 4 (May 23, 2023) (</w:t>
      </w:r>
      <w:r>
        <w:rPr>
          <w:rFonts w:ascii="Times New Roman;Times;Serif" w:hAnsi="Times New Roman;Times;Serif"/>
          <w:b w:val="false"/>
          <w:i w:val="false"/>
          <w:caps w:val="false"/>
          <w:smallCaps w:val="false"/>
          <w:sz w:val="20"/>
          <w:u w:val="single"/>
        </w:rPr>
        <w:t>https://investor.lordstownmotors.com/static-files/5df8b761-dce3-4a8f-a5ce-650fbe6094cc</w:t>
      </w:r>
      <w:r>
        <w:rPr>
          <w:rFonts w:ascii="Times New Roman;Times;Serif" w:hAnsi="Times New Roman;Times;Serif"/>
          <w:b w:val="false"/>
          <w:i w:val="false"/>
          <w:caps w:val="false"/>
          <w:smallCaps w:val="false"/>
          <w:sz w:val="20"/>
        </w:rPr>
        <w:t>). There is no basis to suggest, as the 8-K does, that the Investment Agreement contains an implied adjustment term to account for LMC’s reverse stock split. This is particularly so because the parties have otherwise shown their ability to incorporate such an adjustment term elsewhere in their contract. For example, in Section 10(a)(i) of the Certificate of Designation for the Preferred Stock, LMC and Foxconn explicitly agreed to and set forth a means by which the applicable stock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209925"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09925" cy="2476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38300" cy="5048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Lauria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5,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would be adjusted in the event of a stock split. In contrast, LMC and Foxconn did not incorporate any adjustment language into Section 2.01(b) in connection with the Subsequent Common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promptly identify whether LMC intends to take the position that Foxconn’s purchase right under the Subsequent Common Closing should be adjusted in light of LMC’s reverse stock split and, if LMC intends to take the position that it should be adjusted, further identify the basis for such position. Foxconn reserves all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28" w:type="dxa"/>
          <w:right w:w="0" w:type="dxa"/>
        </w:tblCellMar>
      </w:tblPr>
      <w:tblGrid>
        <w:gridCol w:w="1295"/>
        <w:gridCol w:w="75"/>
      </w:tblGrid>
      <w:tr>
        <w:trPr/>
        <w:tc>
          <w:tcPr>
            <w:tcW w:w="12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Mike Huang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F. Huang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PAUL HASTINGS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318213d1_ex99-2.htm"/>
      <w:bookmarkStart w:id="25" w:name="kstm2318213d1_ex992"/>
      <w:bookmarkEnd w:id="24"/>
      <w:bookmarkEnd w:id="2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jc w:val="right"/>
        <w:rPr/>
      </w:pPr>
      <w:r>
        <w:rPr/>
        <w:drawing>
          <wp:inline distT="0" distB="0" distL="0" distR="0">
            <wp:extent cx="1752600" cy="16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52600" cy="161925"/>
                    </a:xfrm>
                    <a:prstGeom prst="rect">
                      <a:avLst/>
                    </a:prstGeom>
                  </pic:spPr>
                </pic:pic>
              </a:graphicData>
            </a:graphic>
          </wp:inline>
        </w:drawing>
      </w:r>
      <w:r>
        <w:rPr/>
        <w:t> </w:t>
      </w:r>
    </w:p>
    <w:p>
      <w:pPr>
        <w:pStyle w:val="TextBody"/>
        <w:bidi w:val="0"/>
        <w:spacing w:before="0" w:after="283"/>
        <w:jc w:val="left"/>
        <w:rPr/>
      </w:pPr>
      <w:r>
        <w:rPr/>
        <w:t> </w:t>
      </w:r>
    </w:p>
    <w:tbl>
      <w:tblPr>
        <w:tblW w:w="5345" w:type="dxa"/>
        <w:jc w:val="left"/>
        <w:tblInd w:w="0" w:type="dxa"/>
        <w:tblLayout w:type="fixed"/>
        <w:tblCellMar>
          <w:top w:w="0" w:type="dxa"/>
          <w:left w:w="0" w:type="dxa"/>
          <w:bottom w:w="0" w:type="dxa"/>
          <w:right w:w="0" w:type="dxa"/>
        </w:tblCellMar>
      </w:tblPr>
      <w:tblGrid>
        <w:gridCol w:w="2555"/>
        <w:gridCol w:w="2790"/>
      </w:tblGrid>
      <w:tr>
        <w:trPr/>
        <w:tc>
          <w:tcPr>
            <w:tcW w:w="255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EMAIL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F. Huang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mikehuang@paulhastings.com</w:t>
            </w:r>
          </w:p>
        </w:tc>
        <w:tc>
          <w:tcPr>
            <w:tcW w:w="2790" w:type="dxa"/>
            <w:tcBorders/>
            <w:vAlign w:val="center"/>
          </w:tcPr>
          <w:p>
            <w:pPr>
              <w:pStyle w:val="TableContents"/>
              <w:bidi w:val="0"/>
              <w:spacing w:before="0" w:after="283"/>
              <w:jc w:val="right"/>
              <w:rPr/>
            </w:pPr>
            <w:r>
              <w:rPr/>
              <w:drawing>
                <wp:inline distT="0" distB="0" distL="0" distR="0">
                  <wp:extent cx="1724025" cy="1190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24025" cy="119062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write in response to your June 5 letter. Foxconn’s assertion that its purchase rights in the Subsequent Common Closing should not be adjusted to reflect the Company’s reverse stock split is just the latest in a series of actions taken by your client to evade its obligations under the Investment Agreement. As we have repeatedly stated, Foxconn’s continued bad faith conduct has caused the Company to suffer substantial and irreparable 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now, Foxconn’s excuse for failing to honor its obligation to consummate the Subsequent Common Closing was its argument that the April 19 letter from NASDAQ rendered the Company incapable of bringing down its representation in section 3.13 of the Investment Agreement. This was always a meritless position. But even under Foxconn’s flawed interpretation of the Investment Agreement, that closing condition would now be satisfied as today is the tenth consecutive trading day where the Company’s stock traded above $1.00/share.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cannot be a coincidence that only now, after Foxconn’s pretext for failing to close has been removed, that you raise this new, and equally baseless, argument that Foxconn can now acquire 62.8% of the outstanding common stock, effective control of the Company, for the same price it agreed to pay for 10%. While the Investment Agreement does specify a specific number of shares to be purchased, that clearly was based on the number of shares outstanding prior to the reverse stock split. This is clear not only from terms of business deal itself (including Foxconn’s representations to CFIUS), but also from the provisions of the Investment Agreement that state Foxconn would not own more than 19.99% of the Company following the Subsequent Common Closing. The 19.99% threshold was a key component of the parties’ agreement given NASDAQ rules regarding the issuance of securities in a private placement that constitute 20% or more of a list company’s common stock. Your proposed interpretation would leave Foxconn with more than three times that amount of the Company. The Company also provided Foxconn with an opportunity to review its Form 8-K and Form S-3 disclosures concerning the impact of the reverse stock split on the share numbers in the Investment Agreement in advance, and Foxconn raised no objection until June 5—over three weeks after the disclosures were publicly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752600"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52600" cy="171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Foxconn’s most recent maneuver is another effort to sabotage the Subsequent Common Closing or an attempt to capture a windfall and seize control of the Company, it will not succeed. While the Company remains ready, willing and able to consummate the Subsequent Common Closing, Foxconn appears unwilling to do the same. On May 21, Foxconn asked to discuss this dispute and sought information from the Company, but did not respond to the Company after it provided the requested information. If Foxconn does not immediately confirm its intent to consummate the Subsequent Common Closing on the terms agreed, the Company will be forced to publicly disclose Foxconn’s position and will immediately act to enforce its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1745" w:type="dxa"/>
        <w:jc w:val="left"/>
        <w:tblInd w:w="0" w:type="dxa"/>
        <w:tblLayout w:type="fixed"/>
        <w:tblCellMar>
          <w:top w:w="0" w:type="dxa"/>
          <w:left w:w="0" w:type="dxa"/>
          <w:bottom w:w="28" w:type="dxa"/>
          <w:right w:w="0" w:type="dxa"/>
        </w:tblCellMar>
      </w:tblPr>
      <w:tblGrid>
        <w:gridCol w:w="1670"/>
        <w:gridCol w:w="75"/>
      </w:tblGrid>
      <w:tr>
        <w:trPr/>
        <w:tc>
          <w:tcPr>
            <w:tcW w:w="16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E Lauria</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E Lauria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+1 305 995 5282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tlauria@whitecase.com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2324</Words>
  <Characters>12676</Characters>
  <CharactersWithSpaces>15015</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