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0"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August 24, 2022</w:t>
      </w:r>
    </w:p>
    <w:p>
      <w:pPr>
        <w:spacing w:after="0" w:line="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          ​</w:t>
      </w:r>
    </w:p>
    <w:p>
      <w:pPr>
        <w:spacing w:after="0" w:line="3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2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7"/>
          <w:szCs w:val="27"/>
          <w:b w:val="1"/>
          <w:bCs w:val="1"/>
          <w:color w:val="auto"/>
        </w:rPr>
        <w:t>UNITED STATES</w:t>
      </w:r>
    </w:p>
    <w:p>
      <w:pPr>
        <w:jc w:val="center"/>
        <w:ind w:right="-459"/>
        <w:spacing w:after="0" w:line="230" w:lineRule="auto"/>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69215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90"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7"/>
          <w:szCs w:val="27"/>
          <w:b w:val="1"/>
          <w:bCs w:val="1"/>
          <w:color w:val="auto"/>
        </w:rPr>
        <w:t>FORM S-3</w:t>
      </w:r>
    </w:p>
    <w:p>
      <w:pPr>
        <w:spacing w:after="0" w:line="43"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REGISTRATION STATEMENT UNDER</w:t>
      </w:r>
    </w:p>
    <w:p>
      <w:pPr>
        <w:ind w:left="4220"/>
        <w:spacing w:after="0"/>
        <w:rPr>
          <w:sz w:val="20"/>
          <w:szCs w:val="20"/>
          <w:color w:val="auto"/>
        </w:rPr>
      </w:pPr>
      <w:r>
        <w:rPr>
          <w:rFonts w:ascii="Times New Roman" w:cs="Times New Roman" w:eastAsia="Times New Roman" w:hAnsi="Times New Roman"/>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52070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7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7"/>
          <w:szCs w:val="27"/>
          <w:b w:val="1"/>
          <w:bCs w:val="1"/>
          <w:color w:val="auto"/>
        </w:rPr>
        <w:t>LORDSTOWN MOTORS CORP.</w:t>
      </w:r>
    </w:p>
    <w:p>
      <w:pPr>
        <w:spacing w:after="0" w:line="2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76" w:lineRule="exact"/>
        <w:rPr>
          <w:sz w:val="24"/>
          <w:szCs w:val="24"/>
          <w:color w:val="auto"/>
        </w:rPr>
      </w:pPr>
    </w:p>
    <w:p>
      <w:pPr>
        <w:ind w:left="500"/>
        <w:spacing w:after="0"/>
        <w:tabs>
          <w:tab w:leader="none" w:pos="2540" w:val="left"/>
          <w:tab w:leader="none" w:pos="5280" w:val="left"/>
          <w:tab w:leader="none" w:pos="7480" w:val="left"/>
          <w:tab w:leader="none" w:pos="1020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3"/>
          <w:szCs w:val="13"/>
          <w:color w:val="auto"/>
        </w:rPr>
        <w:t>​ ​</w:t>
      </w:r>
      <w:r>
        <w:rPr>
          <w:sz w:val="20"/>
          <w:szCs w:val="20"/>
          <w:color w:val="auto"/>
        </w:rPr>
        <w:tab/>
      </w:r>
      <w:r>
        <w:rPr>
          <w:rFonts w:ascii="Times New Roman" w:cs="Times New Roman" w:eastAsia="Times New Roman" w:hAnsi="Times New Roman"/>
          <w:sz w:val="16"/>
          <w:szCs w:val="16"/>
          <w:b w:val="1"/>
          <w:bCs w:val="1"/>
          <w:color w:val="auto"/>
        </w:rPr>
        <w:t>83-253329</w:t>
      </w:r>
      <w:r>
        <w:rPr>
          <w:sz w:val="20"/>
          <w:szCs w:val="20"/>
          <w:color w:val="auto"/>
        </w:rPr>
        <w:tab/>
      </w:r>
      <w:r>
        <w:rPr>
          <w:rFonts w:ascii="Times New Roman" w:cs="Times New Roman" w:eastAsia="Times New Roman" w:hAnsi="Times New Roman"/>
          <w:sz w:val="13"/>
          <w:szCs w:val="13"/>
          <w:color w:val="auto"/>
        </w:rPr>
        <w:t>​</w:t>
      </w:r>
    </w:p>
    <w:p>
      <w:pPr>
        <w:ind w:left="2020"/>
        <w:spacing w:after="0" w:line="213" w:lineRule="auto"/>
        <w:tabs>
          <w:tab w:leader="none" w:pos="7320" w:val="left"/>
        </w:tabs>
        <w:rPr>
          <w:sz w:val="20"/>
          <w:szCs w:val="20"/>
          <w:color w:val="auto"/>
        </w:rPr>
      </w:pPr>
      <w:r>
        <w:rPr>
          <w:rFonts w:ascii="Times New Roman" w:cs="Times New Roman" w:eastAsia="Times New Roman" w:hAnsi="Times New Roman"/>
          <w:sz w:val="13"/>
          <w:szCs w:val="13"/>
          <w:color w:val="auto"/>
        </w:rPr>
        <w:t>(State or other jurisdiction of</w:t>
      </w:r>
      <w:r>
        <w:rPr>
          <w:sz w:val="20"/>
          <w:szCs w:val="20"/>
          <w:color w:val="auto"/>
        </w:rPr>
        <w:tab/>
      </w:r>
      <w:r>
        <w:rPr>
          <w:rFonts w:ascii="Times New Roman" w:cs="Times New Roman" w:eastAsia="Times New Roman" w:hAnsi="Times New Roman"/>
          <w:sz w:val="13"/>
          <w:szCs w:val="13"/>
          <w:color w:val="auto"/>
        </w:rPr>
        <w:t>(I.R.S. Employer</w:t>
      </w:r>
    </w:p>
    <w:p>
      <w:pPr>
        <w:ind w:left="2020"/>
        <w:spacing w:after="0"/>
        <w:tabs>
          <w:tab w:leader="none" w:pos="7160" w:val="left"/>
        </w:tabs>
        <w:rPr>
          <w:sz w:val="20"/>
          <w:szCs w:val="20"/>
          <w:color w:val="auto"/>
        </w:rPr>
      </w:pPr>
      <w:r>
        <w:rPr>
          <w:rFonts w:ascii="Times New Roman" w:cs="Times New Roman" w:eastAsia="Times New Roman" w:hAnsi="Times New Roman"/>
          <w:sz w:val="13"/>
          <w:szCs w:val="13"/>
          <w:color w:val="auto"/>
        </w:rPr>
        <w:t>incorporation or organization)</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3"/>
          <w:szCs w:val="13"/>
          <w:color w:val="auto"/>
        </w:rPr>
        <w:t>Identification Number)</w:t>
      </w:r>
    </w:p>
    <w:p>
      <w:pPr>
        <w:spacing w:after="0" w:line="20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6"/>
          <w:szCs w:val="16"/>
          <w:b w:val="1"/>
          <w:bCs w:val="1"/>
          <w:color w:val="auto"/>
        </w:rPr>
        <w:t>2300 Hallock Young Road,</w:t>
      </w:r>
    </w:p>
    <w:p>
      <w:pPr>
        <w:ind w:left="4560"/>
        <w:spacing w:after="0" w:line="226" w:lineRule="auto"/>
        <w:rPr>
          <w:sz w:val="20"/>
          <w:szCs w:val="20"/>
          <w:color w:val="auto"/>
        </w:rPr>
      </w:pPr>
      <w:r>
        <w:rPr>
          <w:rFonts w:ascii="Times New Roman" w:cs="Times New Roman" w:eastAsia="Times New Roman" w:hAnsi="Times New Roman"/>
          <w:sz w:val="16"/>
          <w:szCs w:val="16"/>
          <w:b w:val="1"/>
          <w:bCs w:val="1"/>
          <w:color w:val="auto"/>
        </w:rPr>
        <w:t>Lordstown, Ohio 44481</w:t>
      </w:r>
    </w:p>
    <w:p>
      <w:pPr>
        <w:jc w:val="center"/>
        <w:ind w:right="-459"/>
        <w:spacing w:after="0" w:line="229" w:lineRule="auto"/>
        <w:rPr>
          <w:sz w:val="20"/>
          <w:szCs w:val="20"/>
          <w:color w:val="auto"/>
        </w:rPr>
      </w:pPr>
      <w:r>
        <w:rPr>
          <w:rFonts w:ascii="Times New Roman" w:cs="Times New Roman" w:eastAsia="Times New Roman" w:hAnsi="Times New Roman"/>
          <w:sz w:val="16"/>
          <w:szCs w:val="16"/>
          <w:b w:val="1"/>
          <w:bCs w:val="1"/>
          <w:color w:val="auto"/>
        </w:rPr>
        <w:t>(234) 285-4001</w:t>
      </w:r>
    </w:p>
    <w:p>
      <w:pPr>
        <w:jc w:val="center"/>
        <w:ind w:right="-499"/>
        <w:spacing w:after="0"/>
        <w:rPr>
          <w:sz w:val="20"/>
          <w:szCs w:val="20"/>
          <w:color w:val="auto"/>
        </w:rPr>
      </w:pPr>
      <w:r>
        <w:rPr>
          <w:rFonts w:ascii="Times New Roman" w:cs="Times New Roman" w:eastAsia="Times New Roman" w:hAnsi="Times New Roman"/>
          <w:sz w:val="13"/>
          <w:szCs w:val="13"/>
          <w:color w:val="auto"/>
        </w:rPr>
        <w:t>(Address, including zip code, and telephone number, including area code, of registrant’s principal executive offices)</w:t>
      </w:r>
      <w:r>
        <w:rPr>
          <w:rFonts w:ascii="Times New Roman" w:cs="Times New Roman" w:eastAsia="Times New Roman" w:hAnsi="Times New Roman"/>
          <w:sz w:val="16"/>
          <w:szCs w:val="16"/>
          <w:color w:val="auto"/>
        </w:rPr>
        <w:t>​</w:t>
      </w:r>
    </w:p>
    <w:p>
      <w:pPr>
        <w:spacing w:after="0" w:line="5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Melissa A. Leonard</w:t>
      </w:r>
    </w:p>
    <w:p>
      <w:pPr>
        <w:jc w:val="center"/>
        <w:ind w:right="-419"/>
        <w:spacing w:after="0" w:line="228" w:lineRule="auto"/>
        <w:rPr>
          <w:sz w:val="20"/>
          <w:szCs w:val="20"/>
          <w:color w:val="auto"/>
        </w:rPr>
      </w:pPr>
      <w:r>
        <w:rPr>
          <w:rFonts w:ascii="Times New Roman" w:cs="Times New Roman" w:eastAsia="Times New Roman" w:hAnsi="Times New Roman"/>
          <w:sz w:val="16"/>
          <w:szCs w:val="16"/>
          <w:b w:val="1"/>
          <w:bCs w:val="1"/>
          <w:color w:val="auto"/>
        </w:rPr>
        <w:t>Lordstown Motors Corp.</w:t>
      </w:r>
    </w:p>
    <w:p>
      <w:pPr>
        <w:ind w:left="4480"/>
        <w:spacing w:after="0" w:line="229" w:lineRule="auto"/>
        <w:rPr>
          <w:sz w:val="20"/>
          <w:szCs w:val="20"/>
          <w:color w:val="auto"/>
        </w:rPr>
      </w:pPr>
      <w:r>
        <w:rPr>
          <w:rFonts w:ascii="Times New Roman" w:cs="Times New Roman" w:eastAsia="Times New Roman" w:hAnsi="Times New Roman"/>
          <w:sz w:val="16"/>
          <w:szCs w:val="16"/>
          <w:b w:val="1"/>
          <w:bCs w:val="1"/>
          <w:color w:val="auto"/>
        </w:rPr>
        <w:t>2300 Hallock Young Road</w:t>
      </w:r>
    </w:p>
    <w:p>
      <w:pPr>
        <w:ind w:left="4560"/>
        <w:spacing w:after="0" w:line="212" w:lineRule="auto"/>
        <w:rPr>
          <w:sz w:val="20"/>
          <w:szCs w:val="20"/>
          <w:color w:val="auto"/>
        </w:rPr>
      </w:pPr>
      <w:r>
        <w:rPr>
          <w:rFonts w:ascii="Times New Roman" w:cs="Times New Roman" w:eastAsia="Times New Roman" w:hAnsi="Times New Roman"/>
          <w:sz w:val="16"/>
          <w:szCs w:val="16"/>
          <w:b w:val="1"/>
          <w:bCs w:val="1"/>
          <w:color w:val="auto"/>
        </w:rPr>
        <w:t>Lordstown, Ohio 44481</w:t>
      </w:r>
    </w:p>
    <w:p>
      <w:pPr>
        <w:jc w:val="center"/>
        <w:ind w:right="-459"/>
        <w:spacing w:after="0" w:line="229" w:lineRule="auto"/>
        <w:rPr>
          <w:sz w:val="20"/>
          <w:szCs w:val="20"/>
          <w:color w:val="auto"/>
        </w:rPr>
      </w:pPr>
      <w:r>
        <w:rPr>
          <w:rFonts w:ascii="Times New Roman" w:cs="Times New Roman" w:eastAsia="Times New Roman" w:hAnsi="Times New Roman"/>
          <w:sz w:val="16"/>
          <w:szCs w:val="16"/>
          <w:b w:val="1"/>
          <w:bCs w:val="1"/>
          <w:color w:val="auto"/>
        </w:rPr>
        <w:t>(234) 285-4001</w:t>
      </w:r>
    </w:p>
    <w:p>
      <w:pPr>
        <w:jc w:val="center"/>
        <w:ind w:right="-499"/>
        <w:spacing w:after="0"/>
        <w:rPr>
          <w:sz w:val="20"/>
          <w:szCs w:val="20"/>
          <w:color w:val="auto"/>
        </w:rPr>
      </w:pPr>
      <w:r>
        <w:rPr>
          <w:rFonts w:ascii="Times New Roman" w:cs="Times New Roman" w:eastAsia="Times New Roman" w:hAnsi="Times New Roman"/>
          <w:sz w:val="13"/>
          <w:szCs w:val="13"/>
          <w:color w:val="auto"/>
        </w:rPr>
        <w:t>(Name, address, including zip code, and telephone number, including area code, of agent for service)</w:t>
      </w:r>
      <w:r>
        <w:rPr>
          <w:rFonts w:ascii="Times New Roman" w:cs="Times New Roman" w:eastAsia="Times New Roman" w:hAnsi="Times New Roman"/>
          <w:sz w:val="16"/>
          <w:szCs w:val="16"/>
          <w:color w:val="auto"/>
        </w:rPr>
        <w:t>​</w:t>
      </w:r>
    </w:p>
    <w:p>
      <w:pPr>
        <w:spacing w:after="0" w:line="55"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Copy to:</w:t>
      </w:r>
    </w:p>
    <w:p>
      <w:pPr>
        <w:spacing w:after="0" w:line="84"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Janet A. Spreen, Esq.</w:t>
      </w:r>
    </w:p>
    <w:p>
      <w:pPr>
        <w:ind w:left="4560"/>
        <w:spacing w:after="0" w:line="226" w:lineRule="auto"/>
        <w:rPr>
          <w:sz w:val="20"/>
          <w:szCs w:val="20"/>
          <w:color w:val="auto"/>
        </w:rPr>
      </w:pPr>
      <w:r>
        <w:rPr>
          <w:rFonts w:ascii="Times New Roman" w:cs="Times New Roman" w:eastAsia="Times New Roman" w:hAnsi="Times New Roman"/>
          <w:sz w:val="16"/>
          <w:szCs w:val="16"/>
          <w:b w:val="1"/>
          <w:bCs w:val="1"/>
          <w:color w:val="auto"/>
        </w:rPr>
        <w:t>Baker &amp; Hostetler LLP</w:t>
      </w:r>
    </w:p>
    <w:p>
      <w:pPr>
        <w:ind w:left="4360"/>
        <w:spacing w:after="0" w:line="229" w:lineRule="auto"/>
        <w:rPr>
          <w:sz w:val="20"/>
          <w:szCs w:val="20"/>
          <w:color w:val="auto"/>
        </w:rPr>
      </w:pPr>
      <w:r>
        <w:rPr>
          <w:rFonts w:ascii="Times New Roman" w:cs="Times New Roman" w:eastAsia="Times New Roman" w:hAnsi="Times New Roman"/>
          <w:sz w:val="16"/>
          <w:szCs w:val="16"/>
          <w:b w:val="1"/>
          <w:bCs w:val="1"/>
          <w:color w:val="auto"/>
        </w:rPr>
        <w:t>127 Public Square, Suite 2000</w:t>
      </w:r>
    </w:p>
    <w:p>
      <w:pPr>
        <w:ind w:left="4600"/>
        <w:spacing w:after="0" w:line="229" w:lineRule="auto"/>
        <w:rPr>
          <w:sz w:val="20"/>
          <w:szCs w:val="20"/>
          <w:color w:val="auto"/>
        </w:rPr>
      </w:pPr>
      <w:r>
        <w:rPr>
          <w:rFonts w:ascii="Times New Roman" w:cs="Times New Roman" w:eastAsia="Times New Roman" w:hAnsi="Times New Roman"/>
          <w:sz w:val="16"/>
          <w:szCs w:val="16"/>
          <w:b w:val="1"/>
          <w:bCs w:val="1"/>
          <w:color w:val="auto"/>
        </w:rPr>
        <w:t>Cleveland, Ohio 44114</w:t>
      </w:r>
    </w:p>
    <w:p>
      <w:pPr>
        <w:ind w:left="4720"/>
        <w:spacing w:after="0" w:line="211" w:lineRule="auto"/>
        <w:rPr>
          <w:sz w:val="20"/>
          <w:szCs w:val="20"/>
          <w:color w:val="auto"/>
        </w:rPr>
      </w:pPr>
      <w:r>
        <w:rPr>
          <w:rFonts w:ascii="Times New Roman" w:cs="Times New Roman" w:eastAsia="Times New Roman" w:hAnsi="Times New Roman"/>
          <w:sz w:val="16"/>
          <w:szCs w:val="16"/>
          <w:b w:val="1"/>
          <w:bCs w:val="1"/>
          <w:color w:val="auto"/>
        </w:rPr>
        <w:t>Tel: (216) 621-0200</w:t>
      </w: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Fax: (216) 696-0740</w:t>
      </w:r>
    </w:p>
    <w:p>
      <w:pPr>
        <w:spacing w:after="0" w:line="6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6"/>
          <w:szCs w:val="16"/>
          <w:b w:val="1"/>
          <w:bCs w:val="1"/>
          <w:color w:val="auto"/>
        </w:rPr>
        <w:t>From time to time after the effective date of this registration statement.</w:t>
      </w:r>
    </w:p>
    <w:p>
      <w:pPr>
        <w:ind w:left="3020"/>
        <w:spacing w:after="0"/>
        <w:rPr>
          <w:sz w:val="20"/>
          <w:szCs w:val="20"/>
          <w:color w:val="auto"/>
        </w:rPr>
      </w:pPr>
      <w:r>
        <w:rPr>
          <w:rFonts w:ascii="Times New Roman" w:cs="Times New Roman" w:eastAsia="Times New Roman" w:hAnsi="Times New Roman"/>
          <w:sz w:val="16"/>
          <w:szCs w:val="16"/>
          <w:color w:val="auto"/>
        </w:rPr>
        <w:t>(Approximate date of commencement of proposed sale to the public)</w:t>
      </w:r>
    </w:p>
    <w:p>
      <w:pPr>
        <w:spacing w:after="0" w:line="68" w:lineRule="exact"/>
        <w:rPr>
          <w:sz w:val="24"/>
          <w:szCs w:val="24"/>
          <w:color w:val="auto"/>
        </w:rPr>
      </w:pPr>
    </w:p>
    <w:p>
      <w:pPr>
        <w:ind w:left="500" w:right="100" w:firstLine="360"/>
        <w:spacing w:after="0" w:line="195"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43" w:lineRule="exact"/>
        <w:rPr>
          <w:sz w:val="24"/>
          <w:szCs w:val="24"/>
          <w:color w:val="auto"/>
        </w:rPr>
      </w:pPr>
    </w:p>
    <w:p>
      <w:pPr>
        <w:ind w:left="500" w:right="300" w:firstLine="360"/>
        <w:spacing w:after="0" w:line="227" w:lineRule="auto"/>
        <w:rPr>
          <w:sz w:val="20"/>
          <w:szCs w:val="20"/>
          <w:color w:val="auto"/>
        </w:rPr>
      </w:pPr>
      <w:r>
        <w:rPr>
          <w:rFonts w:ascii="Times New Roman" w:cs="Times New Roman" w:eastAsia="Times New Roman" w:hAnsi="Times New Roman"/>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w:t>
      </w:r>
    </w:p>
    <w:p>
      <w:pPr>
        <w:spacing w:after="0" w:line="1" w:lineRule="exact"/>
        <w:rPr>
          <w:sz w:val="24"/>
          <w:szCs w:val="24"/>
          <w:color w:val="auto"/>
        </w:rPr>
      </w:pPr>
    </w:p>
    <w:p>
      <w:pPr>
        <w:ind w:left="500"/>
        <w:spacing w:after="0" w:line="184" w:lineRule="exact"/>
        <w:rPr>
          <w:sz w:val="20"/>
          <w:szCs w:val="20"/>
          <w:color w:val="auto"/>
        </w:rPr>
      </w:pPr>
      <w:r>
        <w:rPr>
          <w:rFonts w:ascii="Times New Roman" w:cs="Times New Roman" w:eastAsia="Times New Roman" w:hAnsi="Times New Roman"/>
          <w:sz w:val="16"/>
          <w:szCs w:val="16"/>
          <w:color w:val="auto"/>
        </w:rPr>
        <w:t xml:space="preserve">box. </w:t>
      </w:r>
      <w:r>
        <w:rPr>
          <w:rFonts w:ascii="MS PGothic" w:cs="MS PGothic" w:eastAsia="MS PGothic" w:hAnsi="MS PGothic"/>
          <w:sz w:val="16"/>
          <w:szCs w:val="16"/>
          <w:color w:val="auto"/>
        </w:rPr>
        <w:t>☒</w:t>
      </w:r>
    </w:p>
    <w:p>
      <w:pPr>
        <w:spacing w:after="0" w:line="61" w:lineRule="exact"/>
        <w:rPr>
          <w:sz w:val="24"/>
          <w:szCs w:val="24"/>
          <w:color w:val="auto"/>
        </w:rPr>
      </w:pPr>
    </w:p>
    <w:p>
      <w:pPr>
        <w:ind w:left="500" w:right="200" w:firstLine="360"/>
        <w:spacing w:after="0" w:line="202"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9" w:lineRule="exact"/>
        <w:rPr>
          <w:sz w:val="24"/>
          <w:szCs w:val="24"/>
          <w:color w:val="auto"/>
        </w:rPr>
      </w:pPr>
    </w:p>
    <w:p>
      <w:pPr>
        <w:ind w:left="500" w:right="100" w:firstLine="360"/>
        <w:spacing w:after="0" w:line="202"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9" w:lineRule="exact"/>
        <w:rPr>
          <w:sz w:val="24"/>
          <w:szCs w:val="24"/>
          <w:color w:val="auto"/>
        </w:rPr>
      </w:pPr>
    </w:p>
    <w:p>
      <w:pPr>
        <w:ind w:left="500" w:right="500" w:firstLine="360"/>
        <w:spacing w:after="0" w:line="202"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29" w:lineRule="exact"/>
        <w:rPr>
          <w:sz w:val="24"/>
          <w:szCs w:val="24"/>
          <w:color w:val="auto"/>
        </w:rPr>
      </w:pPr>
    </w:p>
    <w:p>
      <w:pPr>
        <w:ind w:left="500" w:right="80" w:firstLine="360"/>
        <w:spacing w:after="0" w:line="202"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29"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w:t>
      </w:r>
    </w:p>
    <w:p>
      <w:pPr>
        <w:spacing w:after="0" w:line="10" w:lineRule="exact"/>
        <w:rPr>
          <w:sz w:val="24"/>
          <w:szCs w:val="24"/>
          <w:color w:val="auto"/>
        </w:rPr>
      </w:pPr>
    </w:p>
    <w:p>
      <w:pPr>
        <w:ind w:left="500" w:right="320"/>
        <w:spacing w:after="0" w:line="231" w:lineRule="auto"/>
        <w:rPr>
          <w:sz w:val="20"/>
          <w:szCs w:val="20"/>
          <w:color w:val="auto"/>
        </w:rPr>
      </w:pPr>
      <w:r>
        <w:rPr>
          <w:rFonts w:ascii="Times New Roman" w:cs="Times New Roman" w:eastAsia="Times New Roman" w:hAnsi="Times New Roman"/>
          <w:sz w:val="16"/>
          <w:szCs w:val="16"/>
          <w:color w:val="auto"/>
        </w:rPr>
        <w:t>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860" w:type="dxa"/>
        <w:tblCellMar>
          <w:top w:w="0" w:type="dxa"/>
          <w:left w:w="0" w:type="dxa"/>
          <w:bottom w:w="0" w:type="dxa"/>
          <w:right w:w="0" w:type="dxa"/>
        </w:tblCellMar>
      </w:tblP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74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0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 ​</w:t>
            </w:r>
          </w:p>
        </w:tc>
        <w:tc>
          <w:tcPr>
            <w:tcW w:w="3640" w:type="dxa"/>
            <w:vAlign w:val="bottom"/>
            <w:gridSpan w:val="2"/>
          </w:tcPr>
          <w:p>
            <w:pPr>
              <w:ind w:left="1420"/>
              <w:spacing w:after="0"/>
              <w:rPr>
                <w:sz w:val="20"/>
                <w:szCs w:val="20"/>
                <w:color w:val="auto"/>
              </w:rPr>
            </w:pPr>
            <w:r>
              <w:rPr>
                <w:rFonts w:ascii="Times New Roman" w:cs="Times New Roman" w:eastAsia="Times New Roman" w:hAnsi="Times New Roman"/>
                <w:sz w:val="16"/>
                <w:szCs w:val="16"/>
                <w:color w:val="auto"/>
              </w:rPr>
              <w:t>​ ​ Accelerated filer</w:t>
            </w:r>
          </w:p>
        </w:tc>
        <w:tc>
          <w:tcPr>
            <w:tcW w:w="58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17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060" w:type="dxa"/>
            <w:vAlign w:val="bottom"/>
          </w:tcPr>
          <w:p>
            <w:pPr>
              <w:ind w:left="400"/>
              <w:spacing w:after="0" w:line="162" w:lineRule="exact"/>
              <w:rPr>
                <w:sz w:val="20"/>
                <w:szCs w:val="20"/>
                <w:color w:val="auto"/>
              </w:rPr>
            </w:pPr>
            <w:r>
              <w:rPr>
                <w:rFonts w:ascii="Times New Roman" w:cs="Times New Roman" w:eastAsia="Times New Roman" w:hAnsi="Times New Roman"/>
                <w:sz w:val="16"/>
                <w:szCs w:val="16"/>
                <w:color w:val="auto"/>
              </w:rPr>
              <w:t>​ ​ ​</w:t>
            </w:r>
          </w:p>
        </w:tc>
        <w:tc>
          <w:tcPr>
            <w:tcW w:w="1600" w:type="dxa"/>
            <w:vAlign w:val="bottom"/>
          </w:tcPr>
          <w:p>
            <w:pPr>
              <w:ind w:left="1420"/>
              <w:spacing w:after="0" w:line="162" w:lineRule="exact"/>
              <w:rPr>
                <w:sz w:val="20"/>
                <w:szCs w:val="20"/>
                <w:color w:val="auto"/>
              </w:rPr>
            </w:pPr>
            <w:r>
              <w:rPr>
                <w:rFonts w:ascii="Times New Roman" w:cs="Times New Roman" w:eastAsia="Times New Roman" w:hAnsi="Times New Roman"/>
                <w:sz w:val="16"/>
                <w:szCs w:val="16"/>
                <w:color w:val="auto"/>
              </w:rPr>
              <w:t>​ ​</w:t>
            </w:r>
          </w:p>
        </w:tc>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2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4"/>
        </w:trPr>
        <w:tc>
          <w:tcPr>
            <w:tcW w:w="17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Non-accelerated filer</w:t>
            </w:r>
          </w:p>
        </w:tc>
        <w:tc>
          <w:tcPr>
            <w:tcW w:w="740" w:type="dxa"/>
            <w:vAlign w:val="bottom"/>
            <w:vMerge w:val="continue"/>
          </w:tcPr>
          <w:p>
            <w:pPr>
              <w:spacing w:after="0"/>
              <w:rPr>
                <w:sz w:val="4"/>
                <w:szCs w:val="4"/>
                <w:color w:val="auto"/>
              </w:rPr>
            </w:pPr>
          </w:p>
        </w:tc>
        <w:tc>
          <w:tcPr>
            <w:tcW w:w="20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24"/>
                <w:szCs w:val="24"/>
                <w:color w:val="auto"/>
              </w:rPr>
            </w:pPr>
          </w:p>
        </w:tc>
        <w:tc>
          <w:tcPr>
            <w:tcW w:w="20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 ​</w:t>
            </w:r>
          </w:p>
        </w:tc>
        <w:tc>
          <w:tcPr>
            <w:tcW w:w="3640" w:type="dxa"/>
            <w:vAlign w:val="bottom"/>
            <w:gridSpan w:val="2"/>
          </w:tcPr>
          <w:p>
            <w:pPr>
              <w:ind w:left="1420"/>
              <w:spacing w:after="0"/>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6"/>
                <w:szCs w:val="16"/>
                <w:color w:val="auto"/>
              </w:rPr>
              <w:t xml:space="preserve"> Emerging growth company</w:t>
            </w:r>
          </w:p>
        </w:tc>
        <w:tc>
          <w:tcPr>
            <w:tcW w:w="58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ind w:left="500" w:right="700" w:firstLine="360"/>
        <w:spacing w:after="0" w:line="19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6"/>
          <w:szCs w:val="16"/>
          <w:color w:val="auto"/>
        </w:rPr>
        <w:t>☐</w:t>
      </w:r>
    </w:p>
    <w:p>
      <w:pPr>
        <w:spacing w:after="0" w:line="27" w:lineRule="exact"/>
        <w:rPr>
          <w:sz w:val="24"/>
          <w:szCs w:val="24"/>
          <w:color w:val="auto"/>
        </w:rPr>
      </w:pPr>
    </w:p>
    <w:p>
      <w:pPr>
        <w:jc w:val="center"/>
        <w:ind w:left="780" w:right="300"/>
        <w:spacing w:after="0" w:line="258"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w:t>
      </w:r>
    </w:p>
    <w:p>
      <w:pPr>
        <w:ind w:left="500" w:right="460"/>
        <w:spacing w:after="0" w:line="231" w:lineRule="auto"/>
        <w:rPr>
          <w:sz w:val="20"/>
          <w:szCs w:val="20"/>
          <w:color w:val="auto"/>
        </w:rPr>
      </w:pPr>
      <w:r>
        <w:rPr>
          <w:rFonts w:ascii="Times New Roman" w:cs="Times New Roman" w:eastAsia="Times New Roman" w:hAnsi="Times New Roman"/>
          <w:sz w:val="16"/>
          <w:szCs w:val="16"/>
          <w:b w:val="1"/>
          <w:bCs w:val="1"/>
          <w:color w:val="auto"/>
        </w:rPr>
        <w:t>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72390</wp:posOffset>
            </wp:positionV>
            <wp:extent cx="6189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62" w:lineRule="exact"/>
        <w:rPr>
          <w:sz w:val="20"/>
          <w:szCs w:val="20"/>
          <w:color w:val="auto"/>
        </w:rPr>
      </w:pPr>
    </w:p>
    <w:tbl>
      <w:tblPr>
        <w:tblLayout w:type="fixed"/>
        <w:tblInd w:w="880" w:type="dxa"/>
        <w:tblCellMar>
          <w:top w:w="0" w:type="dxa"/>
          <w:left w:w="0" w:type="dxa"/>
          <w:bottom w:w="0" w:type="dxa"/>
          <w:right w:w="0" w:type="dxa"/>
        </w:tblCellMar>
      </w:tblPr>
      <w:tr>
        <w:trPr>
          <w:trHeight w:val="158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Exchange Commission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not permitted.</w:t>
            </w:r>
          </w:p>
        </w:tc>
      </w:tr>
      <w:tr>
        <w:trPr>
          <w:trHeight w:val="99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and</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offer or sale is</w:t>
            </w:r>
          </w:p>
        </w:tc>
      </w:tr>
      <w:tr>
        <w:trPr>
          <w:trHeight w:val="582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changed. The securities may not be sold until the registration statement filed with the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and it is not soliciting an offer to buy these securities in any state where the</w:t>
            </w:r>
          </w:p>
        </w:tc>
      </w:tr>
      <w:tr>
        <w:trPr>
          <w:trHeight w:val="83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to sell these</w:t>
            </w:r>
          </w:p>
        </w:tc>
      </w:tr>
      <w:tr>
        <w:trPr>
          <w:trHeight w:val="346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prospectus is not complete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 is effective. This prospectus is not an offer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FC0014"/>
        </w:rPr>
        <w:t>SUBJECT TO COMPLETION, DATED AUGUST 24,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LORDSTOWN MOTORS CORP.</w:t>
      </w:r>
    </w:p>
    <w:p>
      <w:pPr>
        <w:spacing w:after="0" w:line="21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5"/>
          <w:szCs w:val="25"/>
          <w:b w:val="1"/>
          <w:bCs w:val="1"/>
          <w:color w:val="auto"/>
        </w:rPr>
        <w:t>$500,000,000</w:t>
      </w:r>
    </w:p>
    <w:p>
      <w:pPr>
        <w:spacing w:after="0" w:line="21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jc w:val="center"/>
        <w:ind w:right="139"/>
        <w:spacing w:after="0" w:line="236" w:lineRule="auto"/>
        <w:rPr>
          <w:sz w:val="20"/>
          <w:szCs w:val="20"/>
          <w:color w:val="auto"/>
        </w:rPr>
      </w:pPr>
      <w:r>
        <w:rPr>
          <w:rFonts w:ascii="Times New Roman" w:cs="Times New Roman" w:eastAsia="Times New Roman" w:hAnsi="Times New Roman"/>
          <w:sz w:val="25"/>
          <w:szCs w:val="25"/>
          <w:b w:val="1"/>
          <w:bCs w:val="1"/>
          <w:color w:val="auto"/>
        </w:rPr>
        <w:t>Debt Securities</w:t>
      </w:r>
    </w:p>
    <w:p>
      <w:pPr>
        <w:jc w:val="center"/>
        <w:ind w:right="139"/>
        <w:spacing w:after="0" w:line="226" w:lineRule="auto"/>
        <w:rPr>
          <w:sz w:val="20"/>
          <w:szCs w:val="20"/>
          <w:color w:val="auto"/>
        </w:rPr>
      </w:pPr>
      <w:r>
        <w:rPr>
          <w:rFonts w:ascii="Times New Roman" w:cs="Times New Roman" w:eastAsia="Times New Roman" w:hAnsi="Times New Roman"/>
          <w:sz w:val="25"/>
          <w:szCs w:val="25"/>
          <w:b w:val="1"/>
          <w:bCs w:val="1"/>
          <w:color w:val="auto"/>
        </w:rPr>
        <w:t>Depositary Shares</w:t>
      </w:r>
    </w:p>
    <w:p>
      <w:pPr>
        <w:jc w:val="center"/>
        <w:ind w:right="139"/>
        <w:spacing w:after="0" w:line="236" w:lineRule="auto"/>
        <w:rPr>
          <w:sz w:val="20"/>
          <w:szCs w:val="20"/>
          <w:color w:val="auto"/>
        </w:rPr>
      </w:pPr>
      <w:r>
        <w:rPr>
          <w:rFonts w:ascii="Times New Roman" w:cs="Times New Roman" w:eastAsia="Times New Roman" w:hAnsi="Times New Roman"/>
          <w:sz w:val="25"/>
          <w:szCs w:val="25"/>
          <w:b w:val="1"/>
          <w:bCs w:val="1"/>
          <w:color w:val="auto"/>
        </w:rPr>
        <w:t>Warrants</w:t>
      </w:r>
    </w:p>
    <w:p>
      <w:pPr>
        <w:jc w:val="center"/>
        <w:ind w:right="139"/>
        <w:spacing w:after="0" w:line="237" w:lineRule="auto"/>
        <w:rPr>
          <w:sz w:val="20"/>
          <w:szCs w:val="20"/>
          <w:color w:val="auto"/>
        </w:rPr>
      </w:pPr>
      <w:r>
        <w:rPr>
          <w:rFonts w:ascii="Times New Roman" w:cs="Times New Roman" w:eastAsia="Times New Roman" w:hAnsi="Times New Roman"/>
          <w:sz w:val="25"/>
          <w:szCs w:val="25"/>
          <w:b w:val="1"/>
          <w:bCs w:val="1"/>
          <w:color w:val="auto"/>
        </w:rPr>
        <w:t>Subscription Rights</w:t>
      </w:r>
    </w:p>
    <w:p>
      <w:pPr>
        <w:jc w:val="center"/>
        <w:ind w:right="139"/>
        <w:spacing w:after="0" w:line="225" w:lineRule="auto"/>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35" w:lineRule="exact"/>
        <w:rPr>
          <w:sz w:val="20"/>
          <w:szCs w:val="20"/>
          <w:color w:val="auto"/>
        </w:rPr>
      </w:pPr>
    </w:p>
    <w:p>
      <w:pPr>
        <w:ind w:right="139" w:firstLine="360"/>
        <w:spacing w:after="0" w:line="245" w:lineRule="auto"/>
        <w:rPr>
          <w:sz w:val="20"/>
          <w:szCs w:val="20"/>
          <w:color w:val="auto"/>
        </w:rPr>
      </w:pPr>
      <w:r>
        <w:rPr>
          <w:rFonts w:ascii="Times New Roman" w:cs="Times New Roman" w:eastAsia="Times New Roman" w:hAnsi="Times New Roman"/>
          <w:sz w:val="18"/>
          <w:szCs w:val="18"/>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also will describe the specific manner in which these securities will be offered and may supplement, update or amend information contained in this prospectus. You should read this prospectus and any applicable prospectus supplement before you invest. The aggregate offering price of the securities we sell pursuant to this prospectus will not exceed $500,000,000.</w:t>
      </w:r>
    </w:p>
    <w:p>
      <w:pPr>
        <w:spacing w:after="0" w:line="114" w:lineRule="exact"/>
        <w:rPr>
          <w:sz w:val="20"/>
          <w:szCs w:val="20"/>
          <w:color w:val="auto"/>
        </w:rPr>
      </w:pPr>
    </w:p>
    <w:p>
      <w:pPr>
        <w:ind w:right="339" w:firstLine="360"/>
        <w:spacing w:after="0" w:line="250" w:lineRule="auto"/>
        <w:rPr>
          <w:sz w:val="20"/>
          <w:szCs w:val="20"/>
          <w:color w:val="auto"/>
        </w:rPr>
      </w:pPr>
      <w:r>
        <w:rPr>
          <w:rFonts w:ascii="Times New Roman" w:cs="Times New Roman" w:eastAsia="Times New Roman" w:hAnsi="Times New Roman"/>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be set forth in a prospectus supplement.</w:t>
      </w:r>
    </w:p>
    <w:p>
      <w:pPr>
        <w:spacing w:after="0" w:line="110" w:lineRule="exact"/>
        <w:rPr>
          <w:sz w:val="20"/>
          <w:szCs w:val="20"/>
          <w:color w:val="auto"/>
        </w:rPr>
      </w:pPr>
    </w:p>
    <w:p>
      <w:pPr>
        <w:ind w:right="199" w:firstLine="360"/>
        <w:spacing w:after="0" w:line="246" w:lineRule="auto"/>
        <w:rPr>
          <w:sz w:val="20"/>
          <w:szCs w:val="20"/>
          <w:color w:val="auto"/>
        </w:rPr>
      </w:pPr>
      <w:r>
        <w:rPr>
          <w:rFonts w:ascii="Times New Roman" w:cs="Times New Roman" w:eastAsia="Times New Roman" w:hAnsi="Times New Roman"/>
          <w:sz w:val="18"/>
          <w:szCs w:val="18"/>
          <w:color w:val="auto"/>
        </w:rPr>
        <w:t>Our Class A common stock is quoted on the Nasdaq Global Select Market under the symbol “RIDE.” On August 23, 2022, the last reported sale price of our Class A common stock on the Nasdaq Global Select Market was $2.02. None of the other securities that we may offer under this prospectus are currently publicly traded. Each prospectus supplement will indicate whether the securities offered thereby will be listed on any securities exchange.</w:t>
      </w:r>
    </w:p>
    <w:p>
      <w:pPr>
        <w:spacing w:after="0" w:line="110" w:lineRule="exact"/>
        <w:rPr>
          <w:sz w:val="20"/>
          <w:szCs w:val="20"/>
          <w:color w:val="auto"/>
        </w:rPr>
      </w:pPr>
    </w:p>
    <w:p>
      <w:pPr>
        <w:jc w:val="both"/>
        <w:ind w:right="19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Investing in these securities involves risks. Please carefully read the information under the headings “Risk Factors” beginning on page </w:t>
      </w:r>
      <w:r>
        <w:rPr>
          <w:rFonts w:ascii="Times New Roman" w:cs="Times New Roman" w:eastAsia="Times New Roman" w:hAnsi="Times New Roman"/>
          <w:sz w:val="18"/>
          <w:szCs w:val="18"/>
          <w:b w:val="1"/>
          <w:bCs w:val="1"/>
          <w:u w:val="single" w:color="auto"/>
          <w:color w:val="0000EE"/>
        </w:rPr>
        <w:t>3</w:t>
      </w:r>
      <w:r>
        <w:rPr>
          <w:rFonts w:ascii="Times New Roman" w:cs="Times New Roman" w:eastAsia="Times New Roman" w:hAnsi="Times New Roman"/>
          <w:sz w:val="18"/>
          <w:szCs w:val="18"/>
          <w:b w:val="1"/>
          <w:bCs w:val="1"/>
          <w:color w:val="auto"/>
        </w:rPr>
        <w:t xml:space="preserve"> of this prospectus and in our most recent reports on Form 10-K and Form 10-Q that are incorporated by reference in this prospectus before you invest in our securities.</w:t>
      </w:r>
    </w:p>
    <w:p>
      <w:pPr>
        <w:spacing w:after="0" w:line="97" w:lineRule="exact"/>
        <w:rPr>
          <w:sz w:val="20"/>
          <w:szCs w:val="20"/>
          <w:color w:val="auto"/>
        </w:rPr>
      </w:pPr>
    </w:p>
    <w:p>
      <w:pPr>
        <w:ind w:right="1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The date of this prospectus is 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81915</wp:posOffset>
            </wp:positionV>
            <wp:extent cx="68065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220" w:space="360"/>
            <w:col w:w="829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PROSPECTUS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DEBT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WARRANTS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PURCHASE CONTRACTS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63" w:lineRule="exact"/>
        <w:rPr>
          <w:sz w:val="20"/>
          <w:szCs w:val="20"/>
          <w:color w:val="auto"/>
        </w:rPr>
      </w:pPr>
    </w:p>
    <w:p>
      <w:pPr>
        <w:ind w:left="1260" w:right="1580"/>
        <w:spacing w:after="0" w:line="344" w:lineRule="auto"/>
        <w:rPr>
          <w:sz w:val="20"/>
          <w:szCs w:val="20"/>
          <w:color w:val="auto"/>
        </w:rPr>
      </w:pPr>
      <w:r>
        <w:rPr>
          <w:rFonts w:ascii="Times New Roman" w:cs="Times New Roman" w:eastAsia="Times New Roman" w:hAnsi="Times New Roman"/>
          <w:sz w:val="18"/>
          <w:szCs w:val="18"/>
          <w:u w:val="single" w:color="auto"/>
          <w:color w:val="0000EE"/>
        </w:rPr>
        <w:t>WHERE YOU CAN FIND MORE INFORMATION INCORPORATION OF CERTAIN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-227330</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200" w:space="720"/>
            <w:col w:w="95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up to a total dollar amount of $500,000,000.</w:t>
      </w:r>
    </w:p>
    <w:p>
      <w:pPr>
        <w:spacing w:after="0" w:line="11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add, update or change information contained in this prospectus. You should read both this prospectus and any applicable prospectus supplement together with the information incorporated by reference herein and therein and the additional information described under the heading “Where You Can Find More Information.”</w:t>
      </w:r>
    </w:p>
    <w:p>
      <w:pPr>
        <w:spacing w:after="0" w:line="106"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2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On October 23, 2020 (the “Closing Date”), DiamondPeak Holdings Corp., our predecessor company (“DiamondPeak”), consummated the previously announced merger pursuant to the Agreement and Plan of Merger, dated as of August 1, 2020 (the “Business Combination Agreement”), by and among DiamondPeak, DPL Merger Sub Corp. (“Merger Sub”) and Lordstown Motors Corp. (“Legacy Lordstown” and now known as Lordstown EV Corporation), pursuant to which Merger Sub merged with and into Legacy Lordstown, with Legacy Lordstown surviving the merger as a wholly-owned subsidiary of DiamondPeak (the “Merger” and, together with the other transactions contemplated by the Business Combination Agreement, the “Business Combination”). On the Closing Date, and in connection with the closing of the Business Combination (the “Closing”), DiamondPeak changed its name to Lordstown Motors Corp.</w:t>
      </w:r>
    </w:p>
    <w:p>
      <w:pPr>
        <w:spacing w:after="0" w:line="121" w:lineRule="exact"/>
        <w:rPr>
          <w:sz w:val="20"/>
          <w:szCs w:val="20"/>
          <w:color w:val="auto"/>
        </w:rPr>
      </w:pPr>
    </w:p>
    <w:p>
      <w:pPr>
        <w:jc w:val="both"/>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“Lordstown,” “we,” “us,” “our” and similar terms refer to Lordstown Motors Corp. (f/k/a DiamondPeak Holdings Corp.) and its consolidated subsidiaries (including Legacy Lordstown). References to “DiamondPeak” refer to our predecessor company prior to the consummation of the Business Combination.</w:t>
      </w:r>
    </w:p>
    <w:p>
      <w:pPr>
        <w:spacing w:after="0" w:line="99" w:lineRule="exact"/>
        <w:rPr>
          <w:sz w:val="20"/>
          <w:szCs w:val="20"/>
          <w:color w:val="auto"/>
        </w:rPr>
      </w:pPr>
    </w:p>
    <w:p>
      <w:pPr>
        <w:ind w:left="1260" w:right="499" w:firstLine="360"/>
        <w:spacing w:after="0" w:line="238" w:lineRule="auto"/>
        <w:rPr>
          <w:sz w:val="20"/>
          <w:szCs w:val="20"/>
          <w:color w:val="auto"/>
        </w:rPr>
      </w:pPr>
      <w:r>
        <w:rPr>
          <w:rFonts w:ascii="Times New Roman" w:cs="Times New Roman" w:eastAsia="Times New Roman" w:hAnsi="Times New Roman"/>
          <w:sz w:val="18"/>
          <w:szCs w:val="18"/>
          <w:color w:val="auto"/>
        </w:rPr>
        <w:t xml:space="preserve">This prospectus contains our registered and unregistered trademarks and service marks, as well as trademarks and service marks of third parties. Solely for convenience, these trademarks and service marks are referenced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similar symbols, but such references are not intended to indicate, in any way, that we will not assert, to the fullest extent under applicable law, our rights to these trademarks and service marks. All brand names, trademarks and service marks appearing in this prospectus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in or incorporated by reference into this prospectus. Because it is a summary, it may not contain all of the information that may be important to you. To understand this offering fully, you should read this entire prospectus and the documents incorporated by reference herein carefully, including the information referenced under the heading “Risk Factors” and in our financial statements, together with any accompanying prospectus supplement.</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1280" w:right="479" w:firstLine="360"/>
        <w:spacing w:after="0" w:line="266" w:lineRule="auto"/>
        <w:rPr>
          <w:sz w:val="20"/>
          <w:szCs w:val="20"/>
          <w:color w:val="auto"/>
        </w:rPr>
      </w:pPr>
      <w:r>
        <w:rPr>
          <w:rFonts w:ascii="Times New Roman" w:cs="Times New Roman" w:eastAsia="Times New Roman" w:hAnsi="Times New Roman"/>
          <w:sz w:val="18"/>
          <w:szCs w:val="18"/>
          <w:color w:val="auto"/>
        </w:rPr>
        <w:t>Lordstown is an electric vehicle (“EV”) innovator developing high-quality light duty commercial fleet vehicles, with the Endurance all electric pick-up truck as our first vehicle being launched in the Lordstown, Ohio facility.</w:t>
      </w:r>
    </w:p>
    <w:p>
      <w:pPr>
        <w:spacing w:after="0" w:line="95" w:lineRule="exact"/>
        <w:rPr>
          <w:sz w:val="20"/>
          <w:szCs w:val="20"/>
          <w:color w:val="auto"/>
        </w:rPr>
      </w:pPr>
    </w:p>
    <w:p>
      <w:pPr>
        <w:ind w:left="1280" w:right="439" w:firstLine="360"/>
        <w:spacing w:after="0" w:line="254" w:lineRule="auto"/>
        <w:rPr>
          <w:sz w:val="20"/>
          <w:szCs w:val="20"/>
          <w:color w:val="auto"/>
        </w:rPr>
      </w:pPr>
      <w:r>
        <w:rPr>
          <w:rFonts w:ascii="Times New Roman" w:cs="Times New Roman" w:eastAsia="Times New Roman" w:hAnsi="Times New Roman"/>
          <w:sz w:val="18"/>
          <w:szCs w:val="18"/>
          <w:color w:val="auto"/>
        </w:rPr>
        <w:t>As described in more detail in the documents incorporated by reference herein, we recently completed the sale of the Lordstown, Ohio manufacturing facility to Foxconn EV Technology, Inc., an Ohio corporation, and an affiliate of Hon Hai Technology Group (“HHTG”; either HHTG or applicable affiliates of HHTG are referred to herein as “Foxconn”) and entered into a manufacturing supply agreement pursuant to which Foxconn will manufacture the Endurance at the facility and perform related services. We have also recently established a joint venture with Foxconn to jointly design, develop, test and industrialize all-electric commercial vehicles with Foxconn using its Mobility-in-Harmony (“MIH”) platform, which would also be built at the Lordstown, Ohio plant and potentially licensed for production elsewhere in the world.</w:t>
      </w:r>
    </w:p>
    <w:p>
      <w:pPr>
        <w:spacing w:after="0" w:line="124" w:lineRule="exact"/>
        <w:rPr>
          <w:sz w:val="20"/>
          <w:szCs w:val="20"/>
          <w:color w:val="auto"/>
        </w:rPr>
      </w:pPr>
    </w:p>
    <w:p>
      <w:pPr>
        <w:ind w:left="1280" w:right="399" w:firstLine="360"/>
        <w:spacing w:after="0" w:line="257" w:lineRule="auto"/>
        <w:rPr>
          <w:sz w:val="20"/>
          <w:szCs w:val="20"/>
          <w:color w:val="auto"/>
        </w:rPr>
      </w:pPr>
      <w:r>
        <w:rPr>
          <w:rFonts w:ascii="Times New Roman" w:cs="Times New Roman" w:eastAsia="Times New Roman" w:hAnsi="Times New Roman"/>
          <w:sz w:val="18"/>
          <w:szCs w:val="18"/>
          <w:color w:val="auto"/>
        </w:rPr>
        <w:t>We continue to explore all financing alternatives as our operations are anticipated to require significant capital investment for the foreseeable future. We are also seeking strategic partners, including other automakers, to provide additional capital/or and other support to enable us to scale the Endurance program and to develop new vehicle programs through the joint venture with Foxconn. As we seek additional sources of financing, there can be no assurance that such financing would be available to us on favorable terms or at all.</w:t>
      </w:r>
    </w:p>
    <w:p>
      <w:pPr>
        <w:spacing w:after="0" w:line="4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80" w:right="519" w:firstLine="360"/>
        <w:spacing w:after="0" w:line="254" w:lineRule="auto"/>
        <w:rPr>
          <w:sz w:val="20"/>
          <w:szCs w:val="20"/>
          <w:color w:val="auto"/>
        </w:rPr>
      </w:pPr>
      <w:r>
        <w:rPr>
          <w:rFonts w:ascii="Times New Roman" w:cs="Times New Roman" w:eastAsia="Times New Roman" w:hAnsi="Times New Roman"/>
          <w:sz w:val="18"/>
          <w:szCs w:val="18"/>
          <w:color w:val="auto"/>
        </w:rPr>
        <w:t>Lordstown Motors Corp., originally known as DiamondPeak Holdings Corp., was incorporated in Delaware on November 13, 2018 as a blank check company for the purpose of effecting a business combination and completed its initial public offering in March 2019. As described above, the Business Combination was completed on October 23, 2020. The mailing address of our principal executive office is 2300 Hallock Young Road, Lordstown, Ohio 44481. Our telephone number is (234) 285-4001. Our website address is www.lordstownmotors.com. Our Class A common stock is listed on the NASDAQ Global Select Market under the symbol “RIDE.” Information contained on our website or connected thereto does not constitute part of, and is not incorporated by reference into, this prospectus.</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48" w:lineRule="exact"/>
        <w:rPr>
          <w:sz w:val="20"/>
          <w:szCs w:val="20"/>
          <w:color w:val="auto"/>
        </w:rPr>
      </w:pPr>
    </w:p>
    <w:p>
      <w:pPr>
        <w:ind w:left="1280" w:right="479" w:firstLine="360"/>
        <w:spacing w:after="0" w:line="256" w:lineRule="auto"/>
        <w:rPr>
          <w:sz w:val="20"/>
          <w:szCs w:val="20"/>
          <w:color w:val="auto"/>
        </w:rPr>
      </w:pPr>
      <w:r>
        <w:rPr>
          <w:rFonts w:ascii="Times New Roman" w:cs="Times New Roman" w:eastAsia="Times New Roman" w:hAnsi="Times New Roman"/>
          <w:sz w:val="18"/>
          <w:szCs w:val="18"/>
          <w:color w:val="auto"/>
        </w:rPr>
        <w:t>We may offer or sell Class A common stock, preferred stock, depositary shares, debt securities, warrants, subscription rights, purchase contracts and units in one or more offerings and in any combination. The aggregate offering price of the securities we sell pursuant to this prospectus will not exceed $500,000,000.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20" w:lineRule="exact"/>
        <w:rPr>
          <w:sz w:val="20"/>
          <w:szCs w:val="20"/>
          <w:color w:val="auto"/>
        </w:rPr>
      </w:pPr>
    </w:p>
    <w:p>
      <w:pPr>
        <w:ind w:left="1280" w:right="539" w:firstLine="360"/>
        <w:spacing w:after="0" w:line="258"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of this prospectus captioned “Plan of Distribution” or in any applicable prospectus supplement. Each prospectus supplement will set forth the names of any underwriters, dealers, agents or other entities involved in the sale of securities described in that prospectus supplement and any applicable fee, commission or discount arrangements with them.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making a decision to invest in our securities, you should carefully consider the risks described under the heading “Risk Factors” in any applicable prospectus supplement and any related free writing prospectus, and under “Part I, Item 1A. Risk Factors” contained in our most recent annual report on Form 10-K and in subsequent quarterly reports on Form 10-Q, as well as any amendments thereto, which are incorporated by reference into this prospectus and the applicable prospectus supplement in their entirety, together with other information in this prospectus and the applicable prospectus supplement, the documents incorporated by reference herein and therein, and any free writing prospectus that we may authorize for use in connection with a specific offering. See “Where You Can Find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This prospectus, any prospectus supplement and any related free writing prospectus, including the information incorporated by reference herein and therein, contain or may contain forward-looking statements within the meaning of Section 27A of the Securities Act of 1933, as amended, or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 “believe,” “contemplate,” “continue,” “could,” “estimate,” “expect,” “intend,” “may,” “plan,” “potential,” “predict,” “project,” “seek,” “should,” “target,” “will,” “would,” or the negative of these words or other comparable terminology. Accordingly, these statements involve estimates, assumptions and uncertainties which could cause actual results to differ materially from those expressed in them.</w:t>
      </w:r>
    </w:p>
    <w:p>
      <w:pPr>
        <w:spacing w:after="0" w:line="343"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any applicable prospectus supplement, the documents incorporated by reference therein or any free writing prospectus that we authorized and under “Part I, Item 1A. Risk Factors” contained in our most recent annual report on Form 10-K, and in subsequent quarterly reports on Form 10-Q, as well as any amendments thereto, which are incorporated by reference into this prospectus and the applicable prospectus supplement in their entirety, as well as the following:</w:t>
      </w:r>
    </w:p>
    <w:p>
      <w:pPr>
        <w:spacing w:after="0" w:line="297" w:lineRule="exact"/>
        <w:rPr>
          <w:sz w:val="20"/>
          <w:szCs w:val="20"/>
          <w:color w:val="auto"/>
        </w:rPr>
      </w:pPr>
    </w:p>
    <w:p>
      <w:pPr>
        <w:ind w:left="1800" w:right="699" w:hanging="180"/>
        <w:spacing w:after="0" w:line="261"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which requires us to manage costs, obtain significant additional funding to execute our business plan, and achieve our production targets for the Endurance in 2022 and beyond, and our ability to raise such funding on a reasonable timeline and with suitable terms;</w:t>
      </w:r>
    </w:p>
    <w:p>
      <w:pPr>
        <w:spacing w:after="0" w:line="71"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sufficient capital in order to invest in the tooling that we expect will enable us to eventually lower the Endurance bill of materials cost, continue design enhancements of the Endurance and fund any future vehicles we may develop;</w:t>
      </w:r>
    </w:p>
    <w:p>
      <w:pPr>
        <w:spacing w:after="0" w:line="67" w:lineRule="exact"/>
        <w:rPr>
          <w:rFonts w:ascii="Times New Roman" w:cs="Times New Roman" w:eastAsia="Times New Roman" w:hAnsi="Times New Roman"/>
          <w:sz w:val="18"/>
          <w:szCs w:val="18"/>
          <w:color w:val="auto"/>
        </w:rPr>
      </w:pPr>
    </w:p>
    <w:p>
      <w:pPr>
        <w:ind w:left="1800" w:right="819" w:hanging="180"/>
        <w:spacing w:after="0" w:line="258"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other impacts of contingent liabilities such as current and future litigation, claims, regulatory proceedings, investigations, complaints, product liability claims, stockholder demand letters, availability of insurance coverage and/or adverse publicity, which may have a material adverse effect, whether or not successful or valid, on our liquidity position, cash projections, business prospects and ability and timeframe to obtain financing;</w:t>
      </w:r>
    </w:p>
    <w:p>
      <w:pPr>
        <w:spacing w:after="0" w:line="75"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from our recently completed transactions and agreements with Foxconn;</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 expansion plans, strategic alliances and other opportunities, including development and market acceptance of our planned products;</w:t>
      </w:r>
    </w:p>
    <w:p>
      <w:pPr>
        <w:spacing w:after="0" w:line="67" w:lineRule="exact"/>
        <w:rPr>
          <w:rFonts w:ascii="Times New Roman" w:cs="Times New Roman" w:eastAsia="Times New Roman" w:hAnsi="Times New Roman"/>
          <w:sz w:val="18"/>
          <w:szCs w:val="18"/>
          <w:color w:val="auto"/>
        </w:rPr>
      </w:pPr>
    </w:p>
    <w:p>
      <w:pPr>
        <w:ind w:left="1800" w:right="519" w:hanging="180"/>
        <w:spacing w:after="0" w:line="258"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limited operating history, the rollout of our business and the timing of expected business milestones, including the ability to complete the engineering of the Endurance, to ensure completion of the retooling of the production facility, to establish appropriate supplier relationships, to successfully complete testing, homologation and certification and to start commercial production and delivery of the Endurance, in accordance with our projected timeline;</w:t>
      </w:r>
    </w:p>
    <w:p>
      <w:pPr>
        <w:spacing w:after="0" w:line="75"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maintain suppliers for our critical components and the terms of such arrangements, and our ability to complete building out our supply chain;</w:t>
      </w:r>
    </w:p>
    <w:p>
      <w:pPr>
        <w:spacing w:after="0" w:line="53" w:lineRule="exact"/>
        <w:rPr>
          <w:rFonts w:ascii="Times New Roman" w:cs="Times New Roman" w:eastAsia="Times New Roman" w:hAnsi="Times New Roman"/>
          <w:sz w:val="18"/>
          <w:szCs w:val="18"/>
          <w:color w:val="auto"/>
        </w:rPr>
      </w:pPr>
    </w:p>
    <w:p>
      <w:pPr>
        <w:ind w:left="1800" w:right="699" w:hanging="180"/>
        <w:spacing w:after="0" w:line="263"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raw materials and components, particularly in light of current supply chain disruptions and labor concerns, inflation, and the consequences of such shortages on testing and other activities, which could present challenges that impact the timing of our commercial production;</w:t>
      </w:r>
    </w:p>
    <w:p>
      <w:pPr>
        <w:spacing w:after="0" w:line="291"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and implement actions that will lower the Endurance bill of materials cost, including sourcing benefits anticipated from our relationship with Foxconn;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binding purchase orders and build customer relationships, including uncertainties as to whether and to what degree we are able to convert previously-reported nonbinding pre-orders and other indications of interest in our vehicle into binding orders and ultimately sales;</w:t>
      </w:r>
    </w:p>
    <w:p>
      <w:pPr>
        <w:spacing w:after="0" w:line="67" w:lineRule="exact"/>
        <w:rPr>
          <w:rFonts w:ascii="Times New Roman" w:cs="Times New Roman" w:eastAsia="Times New Roman" w:hAnsi="Times New Roman"/>
          <w:sz w:val="18"/>
          <w:szCs w:val="18"/>
          <w:color w:val="auto"/>
        </w:rPr>
      </w:pPr>
    </w:p>
    <w:p>
      <w:pPr>
        <w:jc w:val="both"/>
        <w:ind w:left="1800" w:right="87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on the expectations of customers with respect to the pricing, performance, quality, reliability, safety and efficiency of the Endurance and to provide the levels of after sale service and support that they will require;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technology, including our hub motors, do not perform as expected;</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conduct business using a direct sales model, rather than through a dealer network used by most other OEMs;</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our debt covenants and the risks associated with having pledged significant assets as collateral for recently incurred indebtedness;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ability to market and sell vehicles;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and depth of electric vehicle adoption generally;</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required regulatory approvals and changes in laws, regulatory requirements, governmental incentives and fuel and energy prices;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including the COVID-19 pandemic, on our business, the other risks we face and the actions we may take in response thereto;</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compliance with privacy and data protection laws;</w:t>
      </w:r>
    </w:p>
    <w:p>
      <w:pPr>
        <w:spacing w:after="0" w:line="117" w:lineRule="exact"/>
        <w:rPr>
          <w:rFonts w:ascii="Times New Roman" w:cs="Times New Roman" w:eastAsia="Times New Roman" w:hAnsi="Times New Roman"/>
          <w:sz w:val="18"/>
          <w:szCs w:val="18"/>
          <w:color w:val="auto"/>
        </w:rPr>
      </w:pPr>
    </w:p>
    <w:p>
      <w:pPr>
        <w:ind w:left="1800" w:right="135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timely implement and maintain adequate financial, information technology and management processes and controls and procedures; and</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geopolitical, business and/or competitive factors, including the direct and indirect effects of the war in Ukraine.</w:t>
      </w:r>
    </w:p>
    <w:p>
      <w:pPr>
        <w:spacing w:after="0" w:line="94" w:lineRule="exact"/>
        <w:rPr>
          <w:sz w:val="20"/>
          <w:szCs w:val="20"/>
          <w:color w:val="auto"/>
        </w:rPr>
      </w:pPr>
    </w:p>
    <w:p>
      <w:pPr>
        <w:ind w:left="1260" w:right="659" w:firstLine="360"/>
        <w:spacing w:after="0" w:line="254" w:lineRule="auto"/>
        <w:rPr>
          <w:sz w:val="20"/>
          <w:szCs w:val="20"/>
          <w:color w:val="auto"/>
        </w:rPr>
      </w:pPr>
      <w:r>
        <w:rPr>
          <w:rFonts w:ascii="Times New Roman" w:cs="Times New Roman" w:eastAsia="Times New Roman" w:hAnsi="Times New Roman"/>
          <w:sz w:val="18"/>
          <w:szCs w:val="18"/>
          <w:color w:val="auto"/>
        </w:rPr>
        <w:t>We qualify all of the forward-looking statements contained in this prospectus, in the documents incorporated by reference herein and in any prospectus supplement by these cautionary statements. These forward-looking statements speak only as of the date on which the statements were made and are not guarantees of future performance. Although we undertake no obligation to revise or update any forward-looking statements, whether as a result of new information, future events or otherwise, you are advised to review any additional disclosures we make in the documents we subsequently file with the SEC that are incorporated by reference in this prospectus and any prospectus supplement. See “Where You Can Find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to us from the sale of our securities under this prospectus. Unless otherwise provided in the applicable prospectus supplement, we currently expect to use the net proceeds that we receive from sales of our securities under this prospectus for general corporate purposes. The actual application of proceeds from the sale of any particular securities issued hereunder will be described in the applicable prospectus supplement relating to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2"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The following is a summary of the material terms of the Company’s Class A common stock and preferred stock. This summary is qualified in its entirety by reference to the Company’s Second Amended and Restated Certificate of Incorporation (the “Charter”), and Amended and Restated By-laws (the “Bylaws”). We encourage you to read the Charter, the Bylaws and applicable provisions of the Delaware General Corporation Law (the “DGCL”) for additional information.</w:t>
      </w:r>
    </w:p>
    <w:p>
      <w:pPr>
        <w:spacing w:after="0" w:line="114"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The Charter authorizes the issuance of 462,000,000 shares of capital stock, $0.0001 par value per share, consisting of 450,000,000 shares of Class A common stock and 12,000,000 shares of undesignated preferred stock, $0.0001 par value per share. The outstanding shares of Class A common stock are duly authorized, validly issued, fully paid and non-assessable.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Voting Power</w:t>
      </w:r>
    </w:p>
    <w:p>
      <w:pPr>
        <w:spacing w:after="0" w:line="146"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Class A common stock possess all voting power for the election of our directors and all other matters requiring stockholder action, and at all times vote together as one class on all matters properly submitted to a vote of the stockholders. Holders of Class A common stock are entitled to one vote per share on matters to be voted on by stockholders.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60"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Holders of Class A common stock will be entitled to receive such dividends and other distributions, if any, as may be declared from time to time by the board of directors in its discretion out of funds legally available therefor and shall share equally on a per share basis in such dividends and distributions.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Liquidation, Dissolution and Winding Up</w:t>
      </w:r>
    </w:p>
    <w:p>
      <w:pPr>
        <w:spacing w:after="0" w:line="146"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distribution of assets or winding up, holders of the Class A common stock will be entitled to receive an equal amount per share of all of our assets of whatever kind available for distribution to stockholders, after the rights of the holders of the preferred stock have been satisfied.</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60"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Our stockholders have no preemptive or other subscription rights and there are no sinking fund or redemption provisions applicable to Class A common stock.</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Election of Directors</w:t>
      </w:r>
    </w:p>
    <w:p>
      <w:pPr>
        <w:spacing w:after="0" w:line="146"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Our Charter provides that our board of directors is divided into three classes, each of which generally serves for a term of three years with only one class of directors being elected in each year. There is no cumulative voting with respect to the election of directors.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Our Charter provides that shares of preferred stock may be issued from time to time in one or more series. Our board of directors is authorized to fix the voting rights, if any, designations, powers, preferences and relative, participating, optional, special and other rights, if any, of each such series and any qualifications, limitations and restrictions thereof. Our board of directors is able to, without stockholder approval, issue preferred stock with voting and other rights that could adversely affect the voting power and other rights of the holders of the Class A common stock and could have anti -takeover effects. The ability of our board of directors to issue preferred stock without stockholder approval could have the effect of delaying, deferring or preventing a change of control of us or the removal of existing management.</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no preferred stock outstanding as of the date hereof.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indicate in the supplement to what extent the general terms and provisions described in this prospectus apply to a particular series of debt securities.</w:t>
      </w:r>
    </w:p>
    <w:p>
      <w:pPr>
        <w:spacing w:after="0" w:line="325"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or subordinated obligations and, unless otherwise specified in a supplement to this prospectus, the debt securities will be our direct, unsecured obligations and may be issued in one or more series. We may issue debt securities that are convertible into shares of our Class A common stock.</w:t>
      </w:r>
    </w:p>
    <w:p>
      <w:pPr>
        <w:spacing w:after="0" w:line="114"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specified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Capitalized terms used in the summary and not defined herein have the meanings specified in the indenture.</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619" w:firstLine="360"/>
        <w:spacing w:after="0" w:line="244"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and set forth or determined in the manner provided in a resolution of our Board, in an officer’s certificate, or by a supplemental indenture. The particular terms of each series of debt securities will be described in a prospectus supplement relating to such series (including any pricing supplement or term sheet). In addition, any changes to the description below also will be set forth in the applicable prospectus supplement.</w:t>
      </w:r>
    </w:p>
    <w:p>
      <w:pPr>
        <w:spacing w:after="0" w:line="325" w:lineRule="exact"/>
        <w:rPr>
          <w:sz w:val="20"/>
          <w:szCs w:val="20"/>
          <w:color w:val="auto"/>
        </w:rPr>
      </w:pPr>
    </w:p>
    <w:p>
      <w:pPr>
        <w:ind w:left="1260" w:right="739" w:firstLine="360"/>
        <w:spacing w:after="0" w:line="24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7" w:lineRule="exact"/>
        <w:rPr>
          <w:sz w:val="20"/>
          <w:szCs w:val="20"/>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0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03"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5" w:lineRule="exact"/>
        <w:rPr>
          <w:rFonts w:ascii="Times New Roman" w:cs="Times New Roman" w:eastAsia="Times New Roman" w:hAnsi="Times New Roman"/>
          <w:sz w:val="18"/>
          <w:szCs w:val="18"/>
          <w:color w:val="auto"/>
        </w:rPr>
      </w:pPr>
    </w:p>
    <w:p>
      <w:pPr>
        <w:jc w:val="both"/>
        <w:ind w:left="1800" w:right="439" w:hanging="180"/>
        <w:spacing w:after="0" w:line="261"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71"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spacing w:after="0" w:line="282" w:lineRule="auto"/>
        <w:rPr>
          <w:sz w:val="20"/>
          <w:szCs w:val="20"/>
          <w:color w:val="auto"/>
        </w:rPr>
      </w:pPr>
      <w:r>
        <w:rPr>
          <w:rFonts w:ascii="Times New Roman" w:cs="Times New Roman" w:eastAsia="Times New Roman" w:hAnsi="Times New Roman"/>
          <w:sz w:val="18"/>
          <w:szCs w:val="18"/>
          <w:color w:val="auto"/>
        </w:rPr>
        <w:t>which, the price or prices at which and the terms and conditions upon which securities of the series shall be redeemed or purchased, in whole or in part, pursuant to such obligation;</w:t>
      </w:r>
    </w:p>
    <w:p>
      <w:pPr>
        <w:spacing w:after="0" w:line="40" w:lineRule="exact"/>
        <w:rPr>
          <w:sz w:val="20"/>
          <w:szCs w:val="20"/>
          <w:color w:val="auto"/>
        </w:rPr>
      </w:pPr>
    </w:p>
    <w:p>
      <w:pPr>
        <w:jc w:val="both"/>
        <w:ind w:left="1800" w:right="43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40"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53" w:lineRule="exact"/>
        <w:rPr>
          <w:rFonts w:ascii="Times New Roman" w:cs="Times New Roman" w:eastAsia="Times New Roman" w:hAnsi="Times New Roman"/>
          <w:sz w:val="18"/>
          <w:szCs w:val="18"/>
          <w:color w:val="auto"/>
        </w:rPr>
      </w:pPr>
    </w:p>
    <w:p>
      <w:pPr>
        <w:jc w:val="both"/>
        <w:ind w:left="1800" w:right="93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and premium and interest on the debt securities will be made;</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or premium or interest on the debt securities will be made in one or more currencies or currency units other than those in which the debt securities are denominated, the manner in which the exchange rate with respect to these payments will be determined;</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and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03"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58"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including if applicable, the conversion or exchange price, the conversion or exchange period, provisions as to whether conversion or exchange will be mandatory, at the option of the holders thereof or at our option, the events requiring an adjustment of the conversion price or exchange price and provisions affecting conversion or exchange if such debt securities are redeemed;</w:t>
      </w:r>
    </w:p>
    <w:p>
      <w:pPr>
        <w:spacing w:after="0" w:line="75"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6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81"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10"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w:t>
      </w: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4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4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10" w:lineRule="exact"/>
        <w:rPr>
          <w:sz w:val="20"/>
          <w:szCs w:val="20"/>
          <w:color w:val="auto"/>
        </w:rPr>
      </w:pPr>
    </w:p>
    <w:p>
      <w:pPr>
        <w:jc w:val="both"/>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and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48"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4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54" w:lineRule="exact"/>
        <w:rPr>
          <w:sz w:val="20"/>
          <w:szCs w:val="20"/>
          <w:color w:val="auto"/>
        </w:rPr>
      </w:pPr>
    </w:p>
    <w:p>
      <w:pPr>
        <w:ind w:left="1800" w:right="49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94"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assets or properties to us.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17" w:lineRule="exact"/>
        <w:rPr>
          <w:sz w:val="20"/>
          <w:szCs w:val="20"/>
          <w:color w:val="auto"/>
        </w:rPr>
      </w:pPr>
    </w:p>
    <w:p>
      <w:pPr>
        <w:ind w:left="1800" w:right="51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5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7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94"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14"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323"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5"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14"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1" w:lineRule="exact"/>
        <w:rPr>
          <w:sz w:val="20"/>
          <w:szCs w:val="20"/>
          <w:color w:val="auto"/>
        </w:rPr>
      </w:pPr>
    </w:p>
    <w:p>
      <w:pPr>
        <w:ind w:left="1800" w:right="65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w:t>
      </w:r>
    </w:p>
    <w:p>
      <w:pPr>
        <w:spacing w:after="0" w:line="3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spacing w:after="0" w:line="266" w:lineRule="auto"/>
        <w:rPr>
          <w:sz w:val="20"/>
          <w:szCs w:val="20"/>
          <w:color w:val="auto"/>
        </w:rPr>
      </w:pPr>
      <w:r>
        <w:rPr>
          <w:rFonts w:ascii="Times New Roman" w:cs="Times New Roman" w:eastAsia="Times New Roman" w:hAnsi="Times New Roman"/>
          <w:sz w:val="18"/>
          <w:szCs w:val="18"/>
          <w:color w:val="auto"/>
        </w:rPr>
        <w:t>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08"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w:t>
      </w:r>
    </w:p>
    <w:p>
      <w:pPr>
        <w:spacing w:after="0" w:line="11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4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54"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w:t>
      </w:r>
    </w:p>
    <w:p>
      <w:pPr>
        <w:spacing w:after="0" w:line="6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53" w:lineRule="exact"/>
        <w:rPr>
          <w:rFonts w:ascii="Times New Roman" w:cs="Times New Roman" w:eastAsia="Times New Roman" w:hAnsi="Times New Roman"/>
          <w:sz w:val="18"/>
          <w:szCs w:val="18"/>
          <w:color w:val="auto"/>
        </w:rPr>
      </w:pPr>
    </w:p>
    <w:p>
      <w:pPr>
        <w:ind w:left="1800" w:right="519" w:hanging="180"/>
        <w:spacing w:after="0" w:line="258"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provision of the indenture or the debt securities of any series in accordance with the Trust Indenture Act, or to comply with the provisions of DTC, Euroclear or Clearstream or the Trustee with respect to provisions of the indenture or the debt securities of any series relating to transfers or exchanges of the debt securities of such series or beneficial interests in such securities; or</w:t>
      </w:r>
    </w:p>
    <w:p>
      <w:pPr>
        <w:spacing w:after="0" w:line="75"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any provision of the indenture, insofar as it relates to the debt securities of any series, to the description of the debt securities of such series in the prospectus supplement relating to the offering of the debt securities of such series.</w:t>
      </w:r>
    </w:p>
    <w:p>
      <w:pPr>
        <w:spacing w:after="0" w:line="95"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We may modify and amend the indenture with the consent of the holders of at least a majority in principal amount of the outstanding debt securities of each series affected by the modifications or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82" w:lineRule="auto"/>
        <w:rPr>
          <w:sz w:val="20"/>
          <w:szCs w:val="20"/>
          <w:color w:val="auto"/>
        </w:rPr>
      </w:pPr>
      <w:r>
        <w:rPr>
          <w:rFonts w:ascii="Times New Roman" w:cs="Times New Roman" w:eastAsia="Times New Roman" w:hAnsi="Times New Roman"/>
          <w:sz w:val="18"/>
          <w:szCs w:val="18"/>
          <w:color w:val="auto"/>
        </w:rPr>
        <w:t>amendments. We may not make any modification or amendment without the consent of the holders of each affected debt security then outstanding if that amendment will:</w:t>
      </w:r>
    </w:p>
    <w:p>
      <w:pPr>
        <w:spacing w:after="0" w:line="40" w:lineRule="exact"/>
        <w:rPr>
          <w:sz w:val="20"/>
          <w:szCs w:val="20"/>
          <w:color w:val="auto"/>
        </w:rPr>
      </w:pPr>
    </w:p>
    <w:p>
      <w:pPr>
        <w:ind w:left="1800" w:right="67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40"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17" w:lineRule="exact"/>
        <w:rPr>
          <w:rFonts w:ascii="Times New Roman" w:cs="Times New Roman" w:eastAsia="Times New Roman" w:hAnsi="Times New Roman"/>
          <w:sz w:val="18"/>
          <w:szCs w:val="18"/>
          <w:color w:val="auto"/>
        </w:rPr>
      </w:pPr>
    </w:p>
    <w:p>
      <w:pPr>
        <w:ind w:left="1800" w:right="739" w:hanging="180"/>
        <w:spacing w:after="0" w:line="261"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58"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53"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or premium and interest on those debt securities and to institute suit for the enforcement of any such payment;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144"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Legal Defeasance</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329"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to United States federal income tax on the same amounts and in the same manner and at the same times as would have been the case if the deposit, defeasance and discharge had not occurred.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Defeasance of Certain Covenants</w:t>
      </w:r>
    </w:p>
    <w:p>
      <w:pPr>
        <w:spacing w:after="0" w:line="162"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54" w:lineRule="exact"/>
        <w:rPr>
          <w:sz w:val="20"/>
          <w:szCs w:val="20"/>
          <w:color w:val="auto"/>
        </w:rPr>
      </w:pPr>
    </w:p>
    <w:p>
      <w:pPr>
        <w:ind w:left="1800" w:right="57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refer to this as covenant defeasance. The conditions include:</w:t>
      </w:r>
    </w:p>
    <w:p>
      <w:pPr>
        <w:spacing w:after="0" w:line="131" w:lineRule="exact"/>
        <w:rPr>
          <w:sz w:val="20"/>
          <w:szCs w:val="20"/>
          <w:color w:val="auto"/>
        </w:rPr>
      </w:pPr>
    </w:p>
    <w:p>
      <w:pPr>
        <w:ind w:left="1800" w:right="439" w:hanging="180"/>
        <w:spacing w:after="0" w:line="254"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8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6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94"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may elect to offer fractional shares of preferred stock, or depositary shares, rather than full shares of preferred stock. If we do, we will issue to the public receipts, called depositary receipts, for depositary shares, each of which will represent a fraction of a share of a particular series of preferred stock, to be described in the applicable prospectus supplement. Unless otherwise provided in the prospectus supplement, each owner of a depositary share will be entitled to all the rights and preferences of the preferred stock represented by the depositary share, in proportion to the applicable fractional interest in a share of preferred stock represented by the depositary share. Those rights include dividend, voting, redemption, conversion and liquidation rights.</w:t>
      </w:r>
    </w:p>
    <w:p>
      <w:pPr>
        <w:spacing w:after="0" w:line="337"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99"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depositary agreement. Holders of depositary receipts agree to be bound by the deposit agreement, which will require holders to take certain actions such as filing proof of residence and paying certain charges.</w:t>
      </w:r>
    </w:p>
    <w:p>
      <w:pPr>
        <w:spacing w:after="0" w:line="108" w:lineRule="exact"/>
        <w:rPr>
          <w:sz w:val="20"/>
          <w:szCs w:val="20"/>
          <w:color w:val="auto"/>
        </w:rPr>
      </w:pPr>
    </w:p>
    <w:p>
      <w:pPr>
        <w:jc w:val="both"/>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We may issue warrants to purchase debt securities, preferred stock, depositary shares or Class A common stock. We may offer warrants separately or together with one or more additional warrants, debt securities, preferred stock, depositary shares or Class A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w:t>
      </w:r>
    </w:p>
    <w:p>
      <w:pPr>
        <w:spacing w:after="0" w:line="1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any warrants:</w:t>
      </w:r>
    </w:p>
    <w:p>
      <w:pPr>
        <w:spacing w:after="0" w:line="117" w:lineRule="exact"/>
        <w:rPr>
          <w:sz w:val="20"/>
          <w:szCs w:val="20"/>
          <w:color w:val="auto"/>
        </w:rPr>
      </w:pPr>
    </w:p>
    <w:p>
      <w:pPr>
        <w:ind w:left="1800" w:right="59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53"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depositary shares or Class A common stock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800" w:right="519" w:hanging="180"/>
        <w:spacing w:after="0" w:line="275"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Class A common stock will be separately transferable;</w:t>
      </w:r>
    </w:p>
    <w:p>
      <w:pPr>
        <w:spacing w:after="0" w:line="281"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the number of depositary shares or the number of shares of Class A common stock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and other provisions for changes to or adjustment in the exercise price, of the warrants, if any;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may issue subscription rights to purchase our Class A common stock, preferred stock, warrants or debt securities,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21"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54" w:lineRule="exact"/>
        <w:rPr>
          <w:sz w:val="20"/>
          <w:szCs w:val="20"/>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75"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Class A common stock, preferred stock, warrants or debt securities, or units consisting of some or all of these securities, upon the exercise of the subscription rights;</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75"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Class A common stock, preferred stock, warrants or debt securities, or units consisting of some or all of these securities, which may be purchased per each subscription right;</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53" w:lineRule="exact"/>
        <w:rPr>
          <w:rFonts w:ascii="Times New Roman" w:cs="Times New Roman" w:eastAsia="Times New Roman" w:hAnsi="Times New Roman"/>
          <w:sz w:val="18"/>
          <w:szCs w:val="18"/>
          <w:color w:val="auto"/>
        </w:rPr>
      </w:pPr>
    </w:p>
    <w:p>
      <w:pPr>
        <w:ind w:left="1800" w:right="459" w:hanging="180"/>
        <w:spacing w:after="0" w:line="275"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281"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8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 agreements,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21"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w:t>
      </w:r>
    </w:p>
    <w:p>
      <w:pPr>
        <w:spacing w:after="0" w:line="10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1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If we offer any purchase contracts, certain terms of that series of purchase contracts will be described in the applicable prospectus supplement, including, without limitation, the following:</w:t>
      </w:r>
    </w:p>
    <w:p>
      <w:pPr>
        <w:spacing w:after="0" w:line="54" w:lineRule="exact"/>
        <w:rPr>
          <w:sz w:val="20"/>
          <w:szCs w:val="20"/>
          <w:color w:val="auto"/>
        </w:rPr>
      </w:pPr>
    </w:p>
    <w:p>
      <w:pPr>
        <w:ind w:left="1800" w:right="117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securities or other property subject to the purchase contracts (which may be determined by reference to a specific formula described in the purchase contracts);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issued separately, or as a part of units each consisting of a purchase contract and one or more of our other securities, securing the holder’s obligations under the purchase contract;</w:t>
      </w:r>
    </w:p>
    <w:p>
      <w:pPr>
        <w:spacing w:after="0" w:line="67"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for us to make periodic payments to holders or vice versa, and whether the payments are unsecured or pre-funded;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purchase contracts;</w:t>
      </w:r>
    </w:p>
    <w:p>
      <w:pPr>
        <w:spacing w:after="0" w:line="117" w:lineRule="exact"/>
        <w:rPr>
          <w:rFonts w:ascii="Times New Roman" w:cs="Times New Roman" w:eastAsia="Times New Roman" w:hAnsi="Times New Roman"/>
          <w:sz w:val="18"/>
          <w:szCs w:val="18"/>
          <w:color w:val="auto"/>
        </w:rPr>
      </w:pPr>
    </w:p>
    <w:p>
      <w:pPr>
        <w:jc w:val="both"/>
        <w:ind w:left="1800" w:right="759" w:hanging="180"/>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 or not;</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applicable to the purchase contracts;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purchase contracts and any securities subject to such purchase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62"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We may issue units comprising two or more securities described in this prospectus in any combination. For example, we might issue units consisting of a combination of debt securities and warrants to purchase Class A common stock. The following description sets forth certain general terms and provisions of</w:t>
      </w:r>
    </w:p>
    <w:p>
      <w:pPr>
        <w:spacing w:after="0" w:line="1" w:lineRule="exact"/>
        <w:rPr>
          <w:sz w:val="20"/>
          <w:szCs w:val="20"/>
          <w:color w:val="auto"/>
        </w:rPr>
      </w:pPr>
    </w:p>
    <w:p>
      <w:pPr>
        <w:jc w:val="both"/>
        <w:ind w:left="1260" w:right="679"/>
        <w:spacing w:after="0" w:line="255" w:lineRule="auto"/>
        <w:rPr>
          <w:sz w:val="20"/>
          <w:szCs w:val="20"/>
          <w:color w:val="auto"/>
        </w:rPr>
      </w:pPr>
      <w:r>
        <w:rPr>
          <w:rFonts w:ascii="Times New Roman" w:cs="Times New Roman" w:eastAsia="Times New Roman" w:hAnsi="Times New Roman"/>
          <w:sz w:val="18"/>
          <w:szCs w:val="18"/>
          <w:color w:val="auto"/>
        </w:rPr>
        <w:t>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1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w:t>
      </w:r>
    </w:p>
    <w:p>
      <w:pPr>
        <w:spacing w:after="0" w:line="322"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54" w:lineRule="exact"/>
        <w:rPr>
          <w:sz w:val="20"/>
          <w:szCs w:val="20"/>
          <w:color w:val="auto"/>
        </w:rPr>
      </w:pPr>
    </w:p>
    <w:p>
      <w:pPr>
        <w:ind w:left="1800" w:right="5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jc w:val="both"/>
        <w:ind w:left="1260" w:right="859" w:firstLine="360"/>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“at the market” offerings into an existing trading market, subscription rights offering, or a combination of these methods or through underwriters or dealers, through agents and/or directly to one or more purchasers or a combination of these methods.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17"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 from time to time;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5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following:</w:t>
      </w:r>
    </w:p>
    <w:p>
      <w:pPr>
        <w:spacing w:after="0" w:line="68" w:lineRule="exact"/>
        <w:rPr>
          <w:sz w:val="20"/>
          <w:szCs w:val="20"/>
          <w:color w:val="auto"/>
        </w:rPr>
      </w:pPr>
    </w:p>
    <w:p>
      <w:pPr>
        <w:ind w:left="1800" w:right="4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underwriters or agents, including the name or names of any managing underwriter or underwriters;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or public offering price of the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any agents or underwriters;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reallowed or paid to dealers;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14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1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0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02" w:lineRule="exact"/>
        <w:rPr>
          <w:sz w:val="20"/>
          <w:szCs w:val="20"/>
          <w:color w:val="auto"/>
        </w:rPr>
      </w:pPr>
    </w:p>
    <w:p>
      <w:pPr>
        <w:ind w:left="1260" w:right="439" w:firstLine="360"/>
        <w:spacing w:after="0" w:line="275"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32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99"/>
        <w:spacing w:after="0" w:line="282" w:lineRule="auto"/>
        <w:rPr>
          <w:sz w:val="20"/>
          <w:szCs w:val="20"/>
          <w:color w:val="auto"/>
        </w:rPr>
      </w:pPr>
      <w:r>
        <w:rPr>
          <w:rFonts w:ascii="Times New Roman" w:cs="Times New Roman" w:eastAsia="Times New Roman" w:hAnsi="Times New Roman"/>
          <w:sz w:val="18"/>
          <w:szCs w:val="18"/>
          <w:color w:val="auto"/>
        </w:rPr>
        <w:t>institutions and other institutions, but shall in all cases be subject to our approval. Delayed delivery contracts will not be subject to any conditions except that:</w:t>
      </w:r>
    </w:p>
    <w:p>
      <w:pPr>
        <w:spacing w:after="0" w:line="54" w:lineRule="exact"/>
        <w:rPr>
          <w:sz w:val="20"/>
          <w:szCs w:val="20"/>
          <w:color w:val="auto"/>
        </w:rPr>
      </w:pPr>
    </w:p>
    <w:p>
      <w:pPr>
        <w:ind w:left="1800" w:right="73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5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94"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underwriters and other persons acting as agents will not have any responsibility in respect of the validity or performance of delayed delivery contracts.</w:t>
      </w:r>
    </w:p>
    <w:p>
      <w:pPr>
        <w:spacing w:after="0" w:line="94" w:lineRule="exact"/>
        <w:rPr>
          <w:sz w:val="20"/>
          <w:szCs w:val="20"/>
          <w:color w:val="auto"/>
        </w:rPr>
      </w:pPr>
    </w:p>
    <w:p>
      <w:pPr>
        <w:ind w:left="1260" w:right="559" w:firstLine="360"/>
        <w:spacing w:after="0" w:line="263"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319"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2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2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being offered by this prospectus will be passed upon by Baker &amp; Hostetler LLP, Cleveland, Ohio. Additional legal matters may be passed upon for us or any underwriters, dealers or agents by counsel that we will name in the applicable prospectus supplement.</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December 31, 2021 and 2020, and for each of the years in the two year period ended December 31, 2021, and management’s assessment of the effectiveness of internal control over financial reporting as of December 31, 2021 have been incorporated by reference herein and in the registration statement in reliance upon the reports of KPMG LLP, independent registered public accounting firm, incorporated by reference herein, and upon the authority of said firm as experts in accounting and auditing. The audit report covering the December 31, 2021 consolidated financial statements contains an explanatory paragraph that states that the Company does not have sufficient liquidity to fund commercial scale production and the launch of sale of its electric vehicles which raises substantial doubt about the Company’s ability to continue as a going concern. The consolidated financial statements do not include any adjustments that might result from the outcome of that uncertainty. Additionally, the audit report covering the December 31, 2021 consolidated financial statements refers to a change in the method of accounting for leases as of January 1, 2021 due to the adoption of Accounting Standards Updated 2016-02, Leases (ASC Topic 842). The audit report on the effectiveness of internal control over financial reporting as of December 31, 2021, expresses an opinion that the Company did not maintain effective internal control over financial reporting as of December 31, 2021 because of the effect of a material weakness on the achievement of the objectives of the control criteria and contains an explanatory paragraph that states the Company did not have a sufficient number of trained resources with assigned responsibilities and accountability for the design and operation of internal controls over financial reporting. As a consequence, the Company did not effectively operate process-level control activities related to procure to pay (including operating expenses, prepaid expenses, and accrued liabilities), review and approval of manual journal entries, and user access controls to ensure appropriate segregation of duties.</w:t>
      </w:r>
    </w:p>
    <w:p>
      <w:pPr>
        <w:spacing w:after="0" w:line="32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Company’s financial statements as of December 31, 2019, and for the period beginning April 30, 2019 and ended December 31, 2019, incorporated by reference this prospectus and registration statement have been audited by Clark, Schaefer, Hackett &amp; Co., an independent registered public accounting firm, as set forth in their report incorporated by reference herein, and are included in reliance upon such report given on the authority of such firm as experts in accounting and auditing. The audit report covering the December 31, 2019 consolidated financial statements states that the Company does not have sufficient liquidity to fund commercial scale production and the launch of sale of its electric vehicles which raises substantial doubt about the Company’s ability to continue as a going concern. Such consolidated financial statements do not include any adjustments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We are required to file annual, quarterly and current reports, proxy statements and other information with the SEC as required by the Exchange Act. You can read our SEC filings, including this prospectus, over the Internet at the SEC’s website at http://www.sec.gov.</w:t>
      </w:r>
    </w:p>
    <w:p>
      <w:pPr>
        <w:spacing w:after="0" w:line="10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This prospectus does not contain all the information in the registration statement of which this prospectus forms a part. Other documents establishing the terms of the offered securities are or may be filed as exhibits to the registration statement or documents incorporated by reference in the registration statement. Whenever a reference is made in this prospectus to a contract or other document of ours, the reference is only a summary and you should refer to the exhibits that are a part of the registration statement for a copy of the contract or other document. You may review a copy of the registration statement through the SEC’s website, as provided above.</w:t>
      </w:r>
    </w:p>
    <w:p>
      <w:pPr>
        <w:spacing w:after="0" w:line="32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Our website address is www.lordstownmotors.com.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8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registration statement incorporates by reference important business and financial information about our Company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statement contained in any document incorporated or deemed to be incorporated by reference herein shall be deemed to be modified or superseded for purposes of this prospectus to the extent that a statement contained in or omitted from this prospectus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We incorporate by reference:</w:t>
      </w:r>
    </w:p>
    <w:p>
      <w:pPr>
        <w:spacing w:after="0" w:line="84" w:lineRule="exact"/>
        <w:rPr>
          <w:sz w:val="20"/>
          <w:szCs w:val="20"/>
          <w:color w:val="auto"/>
        </w:rPr>
      </w:pPr>
    </w:p>
    <w:p>
      <w:pPr>
        <w:ind w:left="1800" w:right="419" w:hanging="180"/>
        <w:spacing w:after="0" w:line="282" w:lineRule="auto"/>
        <w:tabs>
          <w:tab w:leader="none" w:pos="1800" w:val="left"/>
        </w:tabs>
        <w:numPr>
          <w:ilvl w:val="0"/>
          <w:numId w:val="20"/>
        </w:numPr>
        <w:rPr>
          <w:rFonts w:ascii="Times New Roman" w:cs="Times New Roman" w:eastAsia="Times New Roman" w:hAnsi="Times New Roman"/>
          <w:sz w:val="18"/>
          <w:szCs w:val="18"/>
          <w:u w:val="single" w:color="auto"/>
          <w:color w:val="0000EE"/>
        </w:rPr>
      </w:pPr>
      <w:hyperlink r:id="rId48">
        <w:r>
          <w:rPr>
            <w:rFonts w:ascii="Times New Roman" w:cs="Times New Roman" w:eastAsia="Times New Roman" w:hAnsi="Times New Roman"/>
            <w:sz w:val="18"/>
            <w:szCs w:val="18"/>
            <w:u w:val="single" w:color="auto"/>
            <w:color w:val="0000EE"/>
          </w:rPr>
          <w:t>Our Annual Report on Form 10-K for the fiscal year ended December 31, 2021, filed on February 28,</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2022.</w:t>
        </w:r>
      </w:hyperlink>
    </w:p>
    <w:p>
      <w:pPr>
        <w:spacing w:after="0" w:line="53" w:lineRule="exact"/>
        <w:rPr>
          <w:rFonts w:ascii="Times New Roman" w:cs="Times New Roman" w:eastAsia="Times New Roman" w:hAnsi="Times New Roman"/>
          <w:sz w:val="18"/>
          <w:szCs w:val="18"/>
          <w:u w:val="single" w:color="auto"/>
          <w:color w:val="0000EE"/>
        </w:rPr>
      </w:pPr>
    </w:p>
    <w:p>
      <w:pPr>
        <w:ind w:left="1800" w:right="47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4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2021 from our definitive proxy statement on </w:t>
      </w:r>
      <w:hyperlink r:id="rId49">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which was filed with the SEC on April 8, 2022.</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2022 and June 30, 2022 filed on </w:t>
      </w:r>
      <w:hyperlink r:id="rId50">
        <w:r>
          <w:rPr>
            <w:rFonts w:ascii="Times New Roman" w:cs="Times New Roman" w:eastAsia="Times New Roman" w:hAnsi="Times New Roman"/>
            <w:sz w:val="18"/>
            <w:szCs w:val="18"/>
            <w:u w:val="single" w:color="auto"/>
            <w:color w:val="0000EE"/>
          </w:rPr>
          <w:t>May 9,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1">
        <w:r>
          <w:rPr>
            <w:rFonts w:ascii="Times New Roman" w:cs="Times New Roman" w:eastAsia="Times New Roman" w:hAnsi="Times New Roman"/>
            <w:sz w:val="18"/>
            <w:szCs w:val="18"/>
            <w:u w:val="single" w:color="auto"/>
            <w:color w:val="0000EE"/>
          </w:rPr>
          <w:t>August 4, 2022</w:t>
        </w:r>
      </w:hyperlink>
      <w:r>
        <w:rPr>
          <w:rFonts w:ascii="Times New Roman" w:cs="Times New Roman" w:eastAsia="Times New Roman" w:hAnsi="Times New Roman"/>
          <w:sz w:val="18"/>
          <w:szCs w:val="18"/>
          <w:color w:val="auto"/>
        </w:rPr>
        <w:t>, respectively.</w:t>
      </w:r>
    </w:p>
    <w:p>
      <w:pPr>
        <w:spacing w:after="0" w:line="53"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20"/>
        </w:numPr>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auto"/>
          </w:rPr>
          <w:t xml:space="preserve">Our Current Reports on Form 8-K or Form 8-K/A, filed on </w:t>
        </w:r>
        <w:r>
          <w:rPr>
            <w:rFonts w:ascii="Times New Roman" w:cs="Times New Roman" w:eastAsia="Times New Roman" w:hAnsi="Times New Roman"/>
            <w:sz w:val="18"/>
            <w:szCs w:val="18"/>
            <w:u w:val="single" w:color="auto"/>
            <w:color w:val="0000EE"/>
          </w:rPr>
          <w:t>April 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17,</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3">
        <w:r>
          <w:rPr>
            <w:rFonts w:ascii="Times New Roman" w:cs="Times New Roman" w:eastAsia="Times New Roman" w:hAnsi="Times New Roman"/>
            <w:sz w:val="18"/>
            <w:szCs w:val="18"/>
            <w:u w:val="single" w:color="auto"/>
            <w:color w:val="0000EE"/>
          </w:rPr>
          <w:t xml:space="preserve">May 19, 2022 </w:t>
        </w:r>
      </w:hyperlink>
      <w:hyperlink r:id="rId52">
        <w:r>
          <w:rPr>
            <w:rFonts w:ascii="Times New Roman" w:cs="Times New Roman" w:eastAsia="Times New Roman" w:hAnsi="Times New Roman"/>
            <w:sz w:val="18"/>
            <w:szCs w:val="18"/>
            <w:color w:val="000000"/>
          </w:rPr>
          <w:t>(with respect to items 5.02, 5.03, 5.07 and 9.01),</w:t>
        </w:r>
        <w:r>
          <w:rPr>
            <w:rFonts w:ascii="Times New Roman" w:cs="Times New Roman" w:eastAsia="Times New Roman" w:hAnsi="Times New Roman"/>
            <w:sz w:val="18"/>
            <w:szCs w:val="18"/>
            <w:color w:val="0000EE"/>
          </w:rPr>
          <w:t xml:space="preserve"> </w:t>
        </w:r>
      </w:hyperlink>
      <w:hyperlink r:id="rId54">
        <w:r>
          <w:rPr>
            <w:rFonts w:ascii="Times New Roman" w:cs="Times New Roman" w:eastAsia="Times New Roman" w:hAnsi="Times New Roman"/>
            <w:sz w:val="18"/>
            <w:szCs w:val="18"/>
            <w:u w:val="single" w:color="auto"/>
            <w:color w:val="0000EE"/>
          </w:rPr>
          <w:t>May 23, 2022</w:t>
        </w:r>
      </w:hyperlink>
      <w:hyperlink r:id="rId5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5">
        <w:r>
          <w:rPr>
            <w:rFonts w:ascii="Times New Roman" w:cs="Times New Roman" w:eastAsia="Times New Roman" w:hAnsi="Times New Roman"/>
            <w:sz w:val="18"/>
            <w:szCs w:val="18"/>
            <w:u w:val="single" w:color="auto"/>
            <w:color w:val="0000EE"/>
          </w:rPr>
          <w:t>June 1,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6">
        <w:r>
          <w:rPr>
            <w:rFonts w:ascii="Times New Roman" w:cs="Times New Roman" w:eastAsia="Times New Roman" w:hAnsi="Times New Roman"/>
            <w:sz w:val="18"/>
            <w:szCs w:val="18"/>
            <w:u w:val="single" w:color="auto"/>
            <w:color w:val="0000EE"/>
          </w:rPr>
          <w:t>July 12,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7">
        <w:r>
          <w:rPr>
            <w:rFonts w:ascii="Times New Roman" w:cs="Times New Roman" w:eastAsia="Times New Roman" w:hAnsi="Times New Roman"/>
            <w:sz w:val="18"/>
            <w:szCs w:val="18"/>
            <w:u w:val="single" w:color="auto"/>
            <w:color w:val="0000EE"/>
          </w:rPr>
          <w:t>August 11,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8">
        <w:r>
          <w:rPr>
            <w:rFonts w:ascii="Times New Roman" w:cs="Times New Roman" w:eastAsia="Times New Roman" w:hAnsi="Times New Roman"/>
            <w:sz w:val="18"/>
            <w:szCs w:val="18"/>
            <w:u w:val="single" w:color="auto"/>
            <w:color w:val="0000EE"/>
          </w:rPr>
          <w:t>August 18, 2022</w:t>
        </w:r>
      </w:hyperlink>
      <w:r>
        <w:rPr>
          <w:rFonts w:ascii="Times New Roman" w:cs="Times New Roman" w:eastAsia="Times New Roman" w:hAnsi="Times New Roman"/>
          <w:sz w:val="18"/>
          <w:szCs w:val="18"/>
          <w:color w:val="000000"/>
        </w:rPr>
        <w:t>.</w:t>
      </w:r>
    </w:p>
    <w:p>
      <w:pPr>
        <w:spacing w:after="0" w:line="67" w:lineRule="exact"/>
        <w:rPr>
          <w:rFonts w:ascii="Times New Roman" w:cs="Times New Roman" w:eastAsia="Times New Roman" w:hAnsi="Times New Roman"/>
          <w:sz w:val="18"/>
          <w:szCs w:val="18"/>
          <w:color w:val="0000EE"/>
        </w:rPr>
      </w:pPr>
    </w:p>
    <w:p>
      <w:pPr>
        <w:ind w:left="1800" w:right="539" w:hanging="180"/>
        <w:spacing w:after="0" w:line="282" w:lineRule="auto"/>
        <w:tabs>
          <w:tab w:leader="none" w:pos="1800" w:val="left"/>
        </w:tabs>
        <w:numPr>
          <w:ilvl w:val="0"/>
          <w:numId w:val="20"/>
        </w:numPr>
        <w:rPr>
          <w:rFonts w:ascii="Times New Roman" w:cs="Times New Roman" w:eastAsia="Times New Roman" w:hAnsi="Times New Roman"/>
          <w:sz w:val="18"/>
          <w:szCs w:val="18"/>
          <w:u w:val="single" w:color="auto"/>
          <w:color w:val="0000EE"/>
        </w:rPr>
      </w:pPr>
      <w:hyperlink r:id="rId59">
        <w:r>
          <w:rPr>
            <w:rFonts w:ascii="Times New Roman" w:cs="Times New Roman" w:eastAsia="Times New Roman" w:hAnsi="Times New Roman"/>
            <w:sz w:val="18"/>
            <w:szCs w:val="18"/>
            <w:u w:val="single" w:color="auto"/>
            <w:color w:val="0000EE"/>
          </w:rPr>
          <w:t>The Description of Class A Common Stock filed as Exhibit 4.1 to our Annual Report on Form 10-K</w:t>
        </w:r>
      </w:hyperlink>
      <w:r>
        <w:rPr>
          <w:rFonts w:ascii="Times New Roman" w:cs="Times New Roman" w:eastAsia="Times New Roman" w:hAnsi="Times New Roman"/>
          <w:sz w:val="18"/>
          <w:szCs w:val="18"/>
          <w:u w:val="single" w:color="auto"/>
          <w:color w:val="0000EE"/>
        </w:rPr>
        <w:t xml:space="preserve"> </w:t>
      </w:r>
      <w:hyperlink r:id="rId59">
        <w:r>
          <w:rPr>
            <w:rFonts w:ascii="Times New Roman" w:cs="Times New Roman" w:eastAsia="Times New Roman" w:hAnsi="Times New Roman"/>
            <w:sz w:val="18"/>
            <w:szCs w:val="18"/>
            <w:u w:val="single" w:color="auto"/>
            <w:color w:val="0000EE"/>
          </w:rPr>
          <w:t>for the fiscal year ended December 31, 2021, filed on February 28, 2022.</w:t>
        </w:r>
      </w:hyperlink>
    </w:p>
    <w:p>
      <w:pPr>
        <w:spacing w:after="0" w:line="94" w:lineRule="exact"/>
        <w:rPr>
          <w:rFonts w:ascii="Times New Roman" w:cs="Times New Roman" w:eastAsia="Times New Roman" w:hAnsi="Times New Roman"/>
          <w:sz w:val="18"/>
          <w:szCs w:val="18"/>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We also incorporate by reference into this prospectus any future filings we make with the SEC under Sections 13(a), 13(c), 14 or 15(d) of the Securities Exchange Act of 1934, as amended (the “Exchange Act”) (other than portions of those made pursuant to Item 2.02 or Item 7.01 of Form 8-K or other information “furnished” and not filed with the SEC), including those made after the date of the initial filing of the registration statement of which this prospectus is a part and prior to effectiveness of the registration statement.</w:t>
      </w:r>
    </w:p>
    <w:p>
      <w:pPr>
        <w:sectPr>
          <w:pgSz w:w="11900" w:h="16838" w:orient="portrait"/>
          <w:cols w:equalWidth="0" w:num="1">
            <w:col w:w="9879"/>
          </w:cols>
          <w:pgMar w:left="580" w:top="97" w:right="1440"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379"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62"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us) that we may incur in connection with the securities being registered hereby.</w:t>
      </w:r>
    </w:p>
    <w:tbl>
      <w:tblPr>
        <w:tblLayout w:type="fixed"/>
        <w:tblInd w:w="1260" w:type="dxa"/>
        <w:tblCellMar>
          <w:top w:w="0" w:type="dxa"/>
          <w:left w:w="0" w:type="dxa"/>
          <w:bottom w:w="0" w:type="dxa"/>
          <w:right w:w="0" w:type="dxa"/>
        </w:tblCellMar>
      </w:tblPr>
      <w:tr>
        <w:trPr>
          <w:trHeight w:val="364"/>
        </w:trPr>
        <w:tc>
          <w:tcPr>
            <w:tcW w:w="36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00" w:type="dxa"/>
            <w:vAlign w:val="bottom"/>
            <w:gridSpan w:val="4"/>
          </w:tcPr>
          <w:p>
            <w:pPr>
              <w:ind w:left="220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8"/>
                <w:szCs w:val="28"/>
                <w:b w:val="1"/>
                <w:bCs w:val="1"/>
                <w:color w:val="auto"/>
                <w:vertAlign w:val="subscript"/>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020" w:type="dxa"/>
            <w:vAlign w:val="bottom"/>
            <w:gridSpan w:val="3"/>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 ​​$46,350</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8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Legal fees and expenses</w:t>
            </w:r>
          </w:p>
        </w:tc>
        <w:tc>
          <w:tcPr>
            <w:tcW w:w="280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w w:val="74"/>
              </w:rPr>
              <w:t>​</w:t>
            </w:r>
            <w:r>
              <w:rPr>
                <w:rFonts w:ascii="Times New Roman" w:cs="Times New Roman" w:eastAsia="Times New Roman" w:hAnsi="Times New Roman"/>
                <w:sz w:val="16"/>
                <w:szCs w:val="16"/>
                <w:color w:val="auto"/>
                <w:w w:val="74"/>
              </w:rPr>
              <w:t>*</w:t>
            </w:r>
          </w:p>
        </w:tc>
      </w:tr>
      <w:tr>
        <w:trPr>
          <w:trHeight w:val="257"/>
        </w:trPr>
        <w:tc>
          <w:tcPr>
            <w:tcW w:w="360" w:type="dxa"/>
            <w:vAlign w:val="bottom"/>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800" w:type="dxa"/>
            <w:vAlign w:val="bottom"/>
            <w:gridSpan w:val="2"/>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shd w:val="clear" w:color="auto" w:fill="CCEEFF"/>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74"/>
              </w:rPr>
              <w:t>​</w:t>
            </w:r>
            <w:r>
              <w:rPr>
                <w:rFonts w:ascii="Times New Roman" w:cs="Times New Roman" w:eastAsia="Times New Roman" w:hAnsi="Times New Roman"/>
                <w:sz w:val="16"/>
                <w:szCs w:val="16"/>
                <w:color w:val="auto"/>
                <w:w w:val="74"/>
              </w:rPr>
              <w:t>*</w:t>
            </w:r>
          </w:p>
        </w:tc>
      </w:tr>
      <w:tr>
        <w:trPr>
          <w:trHeight w:val="270"/>
        </w:trPr>
        <w:tc>
          <w:tcPr>
            <w:tcW w:w="360" w:type="dxa"/>
            <w:vAlign w:val="bottom"/>
          </w:tcPr>
          <w:p>
            <w:pPr>
              <w:spacing w:after="0"/>
              <w:rPr>
                <w:sz w:val="23"/>
                <w:szCs w:val="23"/>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800" w:type="dxa"/>
            <w:vAlign w:val="bottom"/>
            <w:gridSpan w:val="2"/>
          </w:tcPr>
          <w:p>
            <w:pPr>
              <w:ind w:left="22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300" w:type="dxa"/>
            <w:vAlign w:val="bottom"/>
            <w:gridSpan w:val="2"/>
          </w:tcPr>
          <w:p>
            <w:pPr>
              <w:ind w:left="220"/>
              <w:spacing w:after="0" w:line="270" w:lineRule="exact"/>
              <w:rPr>
                <w:sz w:val="20"/>
                <w:szCs w:val="20"/>
                <w:color w:val="auto"/>
              </w:rPr>
            </w:pP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25"/>
                <w:szCs w:val="25"/>
                <w:color w:val="auto"/>
                <w:w w:val="71"/>
                <w:vertAlign w:val="superscript"/>
              </w:rPr>
              <w:t>*</w:t>
            </w:r>
          </w:p>
        </w:tc>
      </w:tr>
      <w:tr>
        <w:trPr>
          <w:trHeight w:val="210"/>
        </w:trPr>
        <w:tc>
          <w:tcPr>
            <w:tcW w:w="360" w:type="dxa"/>
            <w:vAlign w:val="bottom"/>
          </w:tcPr>
          <w:p>
            <w:pPr>
              <w:spacing w:after="0"/>
              <w:rPr>
                <w:sz w:val="18"/>
                <w:szCs w:val="18"/>
                <w:color w:val="auto"/>
              </w:rPr>
            </w:pPr>
          </w:p>
        </w:tc>
        <w:tc>
          <w:tcPr>
            <w:tcW w:w="4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r>
      <w:tr>
        <w:trPr>
          <w:trHeight w:val="74"/>
        </w:trPr>
        <w:tc>
          <w:tcPr>
            <w:tcW w:w="360" w:type="dxa"/>
            <w:vAlign w:val="bottom"/>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2880" w:type="dxa"/>
            <w:vAlign w:val="bottom"/>
            <w:shd w:val="clear" w:color="auto" w:fill="CCEEFF"/>
          </w:tcPr>
          <w:p>
            <w:pPr>
              <w:spacing w:after="0"/>
              <w:rPr>
                <w:sz w:val="6"/>
                <w:szCs w:val="6"/>
                <w:color w:val="auto"/>
              </w:rPr>
            </w:pPr>
          </w:p>
        </w:tc>
        <w:tc>
          <w:tcPr>
            <w:tcW w:w="2800" w:type="dxa"/>
            <w:vAlign w:val="bottom"/>
            <w:gridSpan w:val="2"/>
            <w:shd w:val="clear" w:color="auto" w:fill="CCEEFF"/>
          </w:tcPr>
          <w:p>
            <w:pPr>
              <w:ind w:left="2240"/>
              <w:spacing w:after="0"/>
              <w:rPr>
                <w:sz w:val="20"/>
                <w:szCs w:val="20"/>
                <w:color w:val="auto"/>
              </w:rPr>
            </w:pPr>
            <w:r>
              <w:rPr>
                <w:rFonts w:ascii="Times New Roman" w:cs="Times New Roman" w:eastAsia="Times New Roman" w:hAnsi="Times New Roman"/>
                <w:sz w:val="3"/>
                <w:szCs w:val="3"/>
                <w:color w:val="auto"/>
              </w:rPr>
              <w:t>​ ​​</w:t>
            </w:r>
          </w:p>
        </w:tc>
        <w:tc>
          <w:tcPr>
            <w:tcW w:w="220" w:type="dxa"/>
            <w:vAlign w:val="bottom"/>
            <w:shd w:val="clear" w:color="auto" w:fill="CCEEFF"/>
          </w:tcPr>
          <w:p>
            <w:pPr>
              <w:spacing w:after="0"/>
              <w:rPr>
                <w:sz w:val="6"/>
                <w:szCs w:val="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9"/>
        </w:trPr>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28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-282575</wp:posOffset>
            </wp:positionV>
            <wp:extent cx="43719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-950595</wp:posOffset>
            </wp:positionV>
            <wp:extent cx="43630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97" w:lineRule="exact"/>
        <w:rPr>
          <w:sz w:val="20"/>
          <w:szCs w:val="20"/>
          <w:color w:val="auto"/>
        </w:rPr>
      </w:pPr>
    </w:p>
    <w:p>
      <w:pPr>
        <w:ind w:left="1620" w:right="579" w:hanging="360"/>
        <w:spacing w:after="0" w:line="282"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diarector,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1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2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145 of the DGCL.</w:t>
      </w:r>
    </w:p>
    <w:p>
      <w:pPr>
        <w:spacing w:after="0" w:line="124"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Additionally, our Charter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30"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5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eliminating or further limiting the personal liability of directors, then the liability of the Company’s directors will be eliminated or limited to the fullest extent permitted by the DGCL, as so amended.</w:t>
      </w:r>
    </w:p>
    <w:p>
      <w:pPr>
        <w:spacing w:after="0" w:line="95"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as a director or officer of any other company or enterprise to which the person provides services at our request.</w:t>
      </w:r>
    </w:p>
    <w:p>
      <w:pPr>
        <w:spacing w:after="0" w:line="116"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w:t>
      </w:r>
    </w:p>
    <w:p>
      <w:pPr>
        <w:spacing w:after="0" w:line="94"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Any underwriting agreement or distribution agreement that the registrant enters into with any underwriters or agents involved in the offering or sale of any securities registered hereby may require such underwriters or dealers to indemnify the registrant, some or all of its directors and officers and its controlling persons, if any, for specified liabilities, which may include liabilities under the Securities Act of 1933, as amended.</w:t>
      </w:r>
    </w:p>
    <w:p>
      <w:pPr>
        <w:sectPr>
          <w:pgSz w:w="11900" w:h="16838" w:orient="portrait"/>
          <w:cols w:equalWidth="0" w:num="1">
            <w:col w:w="9879"/>
          </w:cols>
          <w:pgMar w:left="580" w:top="97" w:right="1440" w:bottom="1440" w:gutter="0" w:footer="0" w:header="0"/>
        </w:sectPr>
      </w:pP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0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Exhibit</w:t>
      </w:r>
    </w:p>
    <w:p>
      <w:pPr>
        <w:ind w:left="1420"/>
        <w:spacing w:after="0"/>
        <w:tabs>
          <w:tab w:leader="none" w:pos="1800" w:val="left"/>
          <w:tab w:leader="none" w:pos="5360" w:val="left"/>
        </w:tabs>
        <w:rPr>
          <w:sz w:val="20"/>
          <w:szCs w:val="20"/>
          <w:color w:val="auto"/>
        </w:rPr>
      </w:pPr>
      <w:r>
        <w:rPr>
          <w:rFonts w:ascii="Times New Roman" w:cs="Times New Roman" w:eastAsia="Times New Roman" w:hAnsi="Times New Roman"/>
          <w:sz w:val="13"/>
          <w:szCs w:val="13"/>
          <w:b w:val="1"/>
          <w:bCs w:val="1"/>
          <w:color w:val="auto"/>
        </w:rPr>
        <w:t>No.</w:t>
        <w:tab/>
      </w: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ind w:left="1960" w:hanging="701"/>
        <w:spacing w:after="0" w:line="268"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2.1+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w:t>
      </w:r>
      <w:hyperlink r:id="rId65">
        <w:r>
          <w:rPr>
            <w:rFonts w:ascii="Times New Roman" w:cs="Times New Roman" w:eastAsia="Times New Roman" w:hAnsi="Times New Roman"/>
            <w:sz w:val="18"/>
            <w:szCs w:val="18"/>
            <w:u w:val="single" w:color="auto"/>
            <w:color w:val="0000EE"/>
          </w:rPr>
          <w:t>Agreement and Plan of Merger, dated as of August 1, 2020, by and among DiamondPeak Holding</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Corp., Lordstown Motors Corp. and DPL Merger Sub Corp. (incorporated by reference to the</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Company’s Current Report on Form 8-K, filed with the SEC on August 3, 2020)</w:t>
        </w:r>
      </w:hyperlink>
    </w:p>
    <w:tbl>
      <w:tblPr>
        <w:tblLayout w:type="fixed"/>
        <w:tblInd w:w="1260" w:type="dxa"/>
        <w:tblCellMar>
          <w:top w:w="0" w:type="dxa"/>
          <w:left w:w="0" w:type="dxa"/>
          <w:bottom w:w="0" w:type="dxa"/>
          <w:right w:w="0" w:type="dxa"/>
        </w:tblCellMar>
      </w:tblPr>
      <w:tr>
        <w:trPr>
          <w:trHeight w:val="221"/>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7600" w:type="dxa"/>
            <w:vAlign w:val="bottom"/>
            <w:gridSpan w:val="9"/>
          </w:tcPr>
          <w:p>
            <w:pPr>
              <w:ind w:left="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hyperlink r:id="rId66">
              <w:r>
                <w:rPr>
                  <w:rFonts w:ascii="Times New Roman" w:cs="Times New Roman" w:eastAsia="Times New Roman" w:hAnsi="Times New Roman"/>
                  <w:sz w:val="18"/>
                  <w:szCs w:val="18"/>
                  <w:color w:val="0000EE"/>
                </w:rPr>
                <w:t>Second Amended and Restated Certificate of Incorporation (incorporated by reference to the</w:t>
              </w:r>
            </w:hyperlink>
          </w:p>
        </w:tc>
      </w:tr>
      <w:tr>
        <w:trPr>
          <w:trHeight w:val="196"/>
        </w:trPr>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Company’s Current Report on Form 8-K, filed with the SEC on October 29, 2020).</w:t>
              </w:r>
            </w:hyperlink>
          </w:p>
        </w:tc>
        <w:tc>
          <w:tcPr>
            <w:tcW w:w="380" w:type="dxa"/>
            <w:vAlign w:val="bottom"/>
            <w:gridSpan w:val="2"/>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7600" w:type="dxa"/>
            <w:vAlign w:val="bottom"/>
            <w:gridSpan w:val="9"/>
          </w:tcPr>
          <w:p>
            <w:pPr>
              <w:ind w:left="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hyperlink r:id="rId67">
              <w:r>
                <w:rPr>
                  <w:rFonts w:ascii="Times New Roman" w:cs="Times New Roman" w:eastAsia="Times New Roman" w:hAnsi="Times New Roman"/>
                  <w:sz w:val="18"/>
                  <w:szCs w:val="18"/>
                  <w:color w:val="0000EE"/>
                </w:rPr>
                <w:t>Amended and Restated Bylaws (incorporated by reference to the Company’s Current Report on</w:t>
              </w:r>
            </w:hyperlink>
          </w:p>
        </w:tc>
      </w:tr>
      <w:tr>
        <w:trPr>
          <w:trHeight w:val="196"/>
        </w:trPr>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Form 8-K, filed with the SEC on October 29, 2020)</w:t>
              </w:r>
            </w:hyperlink>
          </w:p>
        </w:tc>
        <w:tc>
          <w:tcPr>
            <w:tcW w:w="3300" w:type="dxa"/>
            <w:vAlign w:val="bottom"/>
            <w:tcBorders>
              <w:top w:val="single" w:sz="8" w:color="0000EE"/>
            </w:tcBorders>
            <w:gridSpan w:val="4"/>
          </w:tcPr>
          <w:p>
            <w:pPr>
              <w:spacing w:after="0"/>
              <w:rPr>
                <w:sz w:val="17"/>
                <w:szCs w:val="17"/>
                <w:color w:val="auto"/>
              </w:rPr>
            </w:pPr>
          </w:p>
        </w:tc>
        <w:tc>
          <w:tcPr>
            <w:tcW w:w="180" w:type="dxa"/>
            <w:vAlign w:val="bottom"/>
          </w:tcPr>
          <w:p>
            <w:pPr>
              <w:spacing w:after="0"/>
              <w:rPr>
                <w:sz w:val="17"/>
                <w:szCs w:val="17"/>
                <w:color w:val="auto"/>
              </w:rPr>
            </w:pPr>
          </w:p>
        </w:tc>
      </w:tr>
      <w:tr>
        <w:trPr>
          <w:trHeight w:val="25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 3.3</w:t>
            </w:r>
          </w:p>
        </w:tc>
        <w:tc>
          <w:tcPr>
            <w:tcW w:w="7600" w:type="dxa"/>
            <w:vAlign w:val="bottom"/>
            <w:gridSpan w:val="9"/>
          </w:tcPr>
          <w:p>
            <w:pPr>
              <w:ind w:left="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hyperlink r:id="rId68">
              <w:r>
                <w:rPr>
                  <w:rFonts w:ascii="Times New Roman" w:cs="Times New Roman" w:eastAsia="Times New Roman" w:hAnsi="Times New Roman"/>
                  <w:sz w:val="18"/>
                  <w:szCs w:val="18"/>
                  <w:color w:val="0000EE"/>
                </w:rPr>
                <w:t>Certificate of Amendment of Second Amended and Restated Certificate of Incorporation of</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68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Lordstown Motors Corp. (incorporated by reference to the Company’s Current Report on Form 8-</w:t>
              </w:r>
            </w:hyperlink>
          </w:p>
        </w:tc>
      </w:tr>
      <w:tr>
        <w:trPr>
          <w:trHeight w:val="196"/>
        </w:trPr>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80" w:type="dxa"/>
            <w:vAlign w:val="bottom"/>
            <w:gridSpan w:val="8"/>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K, filed with the SEC on August 18, 2022)</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r>
      <w:tr>
        <w:trPr>
          <w:trHeight w:val="263"/>
        </w:trPr>
        <w:tc>
          <w:tcPr>
            <w:tcW w:w="480" w:type="dxa"/>
            <w:vAlign w:val="bottom"/>
          </w:tcPr>
          <w:p>
            <w:pPr>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4.1*</w:t>
            </w:r>
          </w:p>
        </w:tc>
        <w:tc>
          <w:tcPr>
            <w:tcW w:w="7600" w:type="dxa"/>
            <w:vAlign w:val="bottom"/>
            <w:gridSpan w:val="9"/>
          </w:tcPr>
          <w:p>
            <w:pPr>
              <w:ind w:left="40"/>
              <w:spacing w:after="0" w:line="264" w:lineRule="exact"/>
              <w:rPr>
                <w:sz w:val="20"/>
                <w:szCs w:val="20"/>
                <w:color w:val="auto"/>
              </w:rPr>
            </w:pPr>
            <w:r>
              <w:rPr>
                <w:rFonts w:ascii="Times New Roman" w:cs="Times New Roman" w:eastAsia="Times New Roman" w:hAnsi="Times New Roman"/>
                <w:sz w:val="30"/>
                <w:szCs w:val="30"/>
                <w:b w:val="1"/>
                <w:bCs w:val="1"/>
                <w:color w:val="000000"/>
                <w:vertAlign w:val="superscript"/>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30"/>
                <w:szCs w:val="30"/>
                <w:color w:val="000000"/>
                <w:vertAlign w:val="superscript"/>
              </w:rPr>
              <w:t>​</w:t>
            </w:r>
            <w:r>
              <w:rPr>
                <w:rFonts w:ascii="Times New Roman" w:cs="Times New Roman" w:eastAsia="Times New Roman" w:hAnsi="Times New Roman"/>
                <w:sz w:val="16"/>
                <w:szCs w:val="16"/>
                <w:color w:val="0000EE"/>
              </w:rPr>
              <w:t xml:space="preserve"> Form of Indenture.</w:t>
            </w:r>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ind w:left="1260"/>
        <w:spacing w:after="0" w:line="182"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4.2**</w:t>
      </w:r>
      <w:r>
        <w:rPr>
          <w:rFonts w:ascii="Times New Roman" w:cs="Times New Roman" w:eastAsia="Times New Roman" w:hAnsi="Times New Roman"/>
          <w:sz w:val="31"/>
          <w:szCs w:val="31"/>
          <w:b w:val="1"/>
          <w:bCs w:val="1"/>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Form of Debt Security.</w:t>
      </w:r>
    </w:p>
    <w:p>
      <w:pPr>
        <w:ind w:left="1260"/>
        <w:spacing w:after="0" w:line="185"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4.3**</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Form of Depositary Agreement.</w:t>
      </w:r>
    </w:p>
    <w:p>
      <w:pPr>
        <w:ind w:left="1260"/>
        <w:spacing w:after="0" w:line="185" w:lineRule="auto"/>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4.4**</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Form of Warrant Agreement.</w:t>
      </w:r>
    </w:p>
    <w:p>
      <w:pPr>
        <w:ind w:left="1260"/>
        <w:spacing w:after="0" w:line="184"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4.5**</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Form of Subscription Agreement.</w:t>
      </w:r>
    </w:p>
    <w:p>
      <w:pPr>
        <w:ind w:left="1260"/>
        <w:spacing w:after="0" w:line="185"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4.6**</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Form of Purchase Contract Agreement.</w:t>
      </w:r>
    </w:p>
    <w:p>
      <w:pPr>
        <w:ind w:left="1260"/>
        <w:spacing w:after="0" w:line="181" w:lineRule="auto"/>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4.7**</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Form of Unit Agreement.</w:t>
      </w:r>
    </w:p>
    <w:p>
      <w:pPr>
        <w:ind w:left="1260"/>
        <w:spacing w:after="0" w:line="182"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4.8**</w:t>
      </w:r>
      <w:r>
        <w:rPr>
          <w:rFonts w:ascii="Times New Roman" w:cs="Times New Roman" w:eastAsia="Times New Roman" w:hAnsi="Times New Roman"/>
          <w:sz w:val="31"/>
          <w:szCs w:val="31"/>
          <w:b w:val="1"/>
          <w:bCs w:val="1"/>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Form of Unit.</w:t>
      </w:r>
    </w:p>
    <w:p>
      <w:pPr>
        <w:ind w:left="1260"/>
        <w:spacing w:after="0" w:line="181"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5.1* </w:t>
      </w:r>
      <w:r>
        <w:rPr>
          <w:rFonts w:ascii="Times New Roman" w:cs="Times New Roman" w:eastAsia="Times New Roman" w:hAnsi="Times New Roman"/>
          <w:sz w:val="31"/>
          <w:szCs w:val="31"/>
          <w:b w:val="1"/>
          <w:bCs w:val="1"/>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Opinion of Baker &amp; Hostetler LLP.</w:t>
      </w:r>
    </w:p>
    <w:p>
      <w:pPr>
        <w:ind w:left="1260"/>
        <w:spacing w:after="0" w:line="182"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​23.1* </w:t>
      </w:r>
      <w:r>
        <w:rPr>
          <w:rFonts w:ascii="Times New Roman" w:cs="Times New Roman" w:eastAsia="Times New Roman" w:hAnsi="Times New Roman"/>
          <w:sz w:val="31"/>
          <w:szCs w:val="31"/>
          <w:b w:val="1"/>
          <w:bCs w:val="1"/>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Consent of KPMG LLP, independent registered accounting firm.</w:t>
      </w:r>
    </w:p>
    <w:p>
      <w:pPr>
        <w:spacing w:after="0" w:line="1" w:lineRule="exact"/>
        <w:rPr>
          <w:sz w:val="20"/>
          <w:szCs w:val="20"/>
          <w:color w:val="auto"/>
        </w:rPr>
      </w:pPr>
    </w:p>
    <w:p>
      <w:pPr>
        <w:ind w:left="1260" w:right="500"/>
        <w:spacing w:after="0" w:line="216"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Consent of Clark, Schaefer, Hackett &amp; Co Independent Registered Public Accounting Firm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Consent of Baker &amp; Hostetler LLP (including in Exhibit 5.1)</w:t>
      </w: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9340" w:space="120"/>
            <w:col w:w="41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No.</w:t>
            </w:r>
          </w:p>
        </w:tc>
        <w:tc>
          <w:tcPr>
            <w:tcW w:w="40" w:type="dxa"/>
            <w:vAlign w:val="bottom"/>
            <w:tcBorders>
              <w:bottom w:val="single" w:sz="8" w:color="auto"/>
            </w:tcBorders>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28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gridSpan w:val="2"/>
          </w:tcPr>
          <w:p>
            <w:pPr>
              <w:ind w:left="2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480" w:type="dxa"/>
            <w:vAlign w:val="bottom"/>
          </w:tcPr>
          <w:p>
            <w:pPr>
              <w:jc w:val="right"/>
              <w:spacing w:after="0" w:line="210"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​24.1*</w:t>
            </w: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Power of Attorney (included on signature page hereto)</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ind w:right="368"/>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8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69"/>
        </w:trPr>
        <w:tc>
          <w:tcPr>
            <w:tcW w:w="48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Form T-1 Statement of Eligibility of Trustee for Indenture under the Trust Indenture Act of 1939.</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700" w:type="dxa"/>
            <w:vAlign w:val="bottom"/>
            <w:gridSpan w:val="3"/>
          </w:tcPr>
          <w:p>
            <w:pPr>
              <w:jc w:val="right"/>
              <w:ind w:right="19"/>
              <w:spacing w:after="0" w:line="90" w:lineRule="exact"/>
              <w:rPr>
                <w:sz w:val="20"/>
                <w:szCs w:val="20"/>
                <w:color w:val="auto"/>
              </w:rPr>
            </w:pPr>
            <w:r>
              <w:rPr>
                <w:rFonts w:ascii="Times New Roman" w:cs="Times New Roman" w:eastAsia="Times New Roman" w:hAnsi="Times New Roman"/>
                <w:sz w:val="10"/>
                <w:szCs w:val="10"/>
                <w:color w:val="auto"/>
              </w:rPr>
              <w:t>​25.1***</w:t>
            </w:r>
          </w:p>
        </w:tc>
        <w:tc>
          <w:tcPr>
            <w:tcW w:w="75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480" w:type="dxa"/>
            <w:vAlign w:val="bottom"/>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620" w:hanging="360"/>
        <w:spacing w:after="0"/>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ind w:left="1620" w:hanging="360"/>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as an exhibit to a current report on Form 8-K of the registrant.</w:t>
      </w:r>
    </w:p>
    <w:p>
      <w:pPr>
        <w:spacing w:after="0" w:line="63" w:lineRule="exact"/>
        <w:rPr>
          <w:rFonts w:ascii="Times New Roman" w:cs="Times New Roman" w:eastAsia="Times New Roman" w:hAnsi="Times New Roman"/>
          <w:sz w:val="18"/>
          <w:szCs w:val="18"/>
          <w:color w:val="auto"/>
        </w:rPr>
      </w:pPr>
    </w:p>
    <w:p>
      <w:pPr>
        <w:ind w:left="1620" w:right="859" w:hanging="360"/>
        <w:spacing w:after="0" w:line="281"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in accordance with the requirements of Section 305(b)(2) of the Trust Indenture Act of 1939. and Rule 5b-3 thereunder.</w:t>
      </w:r>
    </w:p>
    <w:p>
      <w:pPr>
        <w:spacing w:after="0" w:line="1" w:lineRule="exact"/>
        <w:rPr>
          <w:sz w:val="20"/>
          <w:szCs w:val="20"/>
          <w:color w:val="auto"/>
        </w:rPr>
      </w:pPr>
    </w:p>
    <w:p>
      <w:pPr>
        <w:ind w:left="1620" w:right="879" w:hanging="360"/>
        <w:spacing w:after="0" w:line="266"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this agreement have been omitted pursuant to Item 601(b)(2) of Regulation S-K. A copy of any omitted schedule and/or exhibit will be furnished to the SEC upon request.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62" w:lineRule="exact"/>
        <w:rPr>
          <w:sz w:val="20"/>
          <w:szCs w:val="20"/>
          <w:color w:val="auto"/>
        </w:rPr>
      </w:pPr>
    </w:p>
    <w:p>
      <w:pPr>
        <w:ind w:left="1620"/>
        <w:spacing w:after="0"/>
        <w:tabs>
          <w:tab w:leader="none" w:pos="1960" w:val="left"/>
        </w:tabs>
        <w:rPr>
          <w:sz w:val="20"/>
          <w:szCs w:val="20"/>
          <w:color w:val="auto"/>
        </w:rPr>
      </w:pPr>
      <w:r>
        <w:rPr>
          <w:rFonts w:ascii="Times New Roman" w:cs="Times New Roman" w:eastAsia="Times New Roman" w:hAnsi="Times New Roman"/>
          <w:sz w:val="18"/>
          <w:szCs w:val="18"/>
          <w:color w:val="auto"/>
        </w:rPr>
        <w:t>(a)</w:t>
        <w:tab/>
        <w:t>The undersigned registrant hereby undertakes:</w:t>
      </w:r>
    </w:p>
    <w:p>
      <w:pPr>
        <w:spacing w:after="0" w:line="144" w:lineRule="exact"/>
        <w:rPr>
          <w:sz w:val="20"/>
          <w:szCs w:val="20"/>
          <w:color w:val="auto"/>
        </w:rPr>
      </w:pPr>
    </w:p>
    <w:p>
      <w:pPr>
        <w:ind w:left="1980" w:right="579" w:hanging="360"/>
        <w:spacing w:after="0" w:line="282"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44" w:lineRule="exact"/>
        <w:rPr>
          <w:rFonts w:ascii="Times New Roman" w:cs="Times New Roman" w:eastAsia="Times New Roman" w:hAnsi="Times New Roman"/>
          <w:sz w:val="18"/>
          <w:szCs w:val="18"/>
          <w:color w:val="auto"/>
        </w:rPr>
      </w:pPr>
    </w:p>
    <w:p>
      <w:pPr>
        <w:ind w:left="2340" w:right="599" w:hanging="360"/>
        <w:spacing w:after="0" w:line="253" w:lineRule="auto"/>
        <w:tabs>
          <w:tab w:leader="none" w:pos="23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13" w:lineRule="exact"/>
        <w:rPr>
          <w:rFonts w:ascii="Times New Roman" w:cs="Times New Roman" w:eastAsia="Times New Roman" w:hAnsi="Times New Roman"/>
          <w:sz w:val="18"/>
          <w:szCs w:val="18"/>
          <w:color w:val="auto"/>
        </w:rPr>
      </w:pPr>
    </w:p>
    <w:p>
      <w:pPr>
        <w:ind w:left="2340" w:right="799" w:hanging="360"/>
        <w:spacing w:after="0" w:line="266" w:lineRule="auto"/>
        <w:tabs>
          <w:tab w:leader="none" w:pos="23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6" w:lineRule="exact"/>
        <w:rPr>
          <w:sz w:val="20"/>
          <w:szCs w:val="20"/>
          <w:color w:val="auto"/>
        </w:rPr>
      </w:pPr>
    </w:p>
    <w:p>
      <w:pPr>
        <w:ind w:left="1980" w:right="439"/>
        <w:spacing w:after="0" w:line="248"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310" w:lineRule="exact"/>
        <w:rPr>
          <w:sz w:val="20"/>
          <w:szCs w:val="20"/>
          <w:color w:val="auto"/>
        </w:rPr>
      </w:pPr>
    </w:p>
    <w:p>
      <w:pPr>
        <w:ind w:left="1980" w:right="599" w:hanging="360"/>
        <w:spacing w:after="0" w:line="261"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2" w:lineRule="exact"/>
        <w:rPr>
          <w:rFonts w:ascii="Times New Roman" w:cs="Times New Roman" w:eastAsia="Times New Roman" w:hAnsi="Times New Roman"/>
          <w:sz w:val="18"/>
          <w:szCs w:val="18"/>
          <w:color w:val="auto"/>
        </w:rPr>
      </w:pPr>
    </w:p>
    <w:p>
      <w:pPr>
        <w:ind w:left="1980" w:right="639" w:hanging="360"/>
        <w:spacing w:after="0" w:line="282"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57" w:lineRule="exact"/>
        <w:rPr>
          <w:rFonts w:ascii="Times New Roman" w:cs="Times New Roman" w:eastAsia="Times New Roman" w:hAnsi="Times New Roman"/>
          <w:sz w:val="18"/>
          <w:szCs w:val="18"/>
          <w:color w:val="auto"/>
        </w:rPr>
      </w:pPr>
    </w:p>
    <w:p>
      <w:pPr>
        <w:ind w:left="2340" w:right="539" w:hanging="360"/>
        <w:spacing w:after="0" w:line="266" w:lineRule="auto"/>
        <w:tabs>
          <w:tab w:leader="none" w:pos="23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459" w:hanging="360"/>
        <w:spacing w:after="0" w:line="252" w:lineRule="auto"/>
        <w:tabs>
          <w:tab w:leader="none" w:pos="23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43" w:lineRule="exact"/>
        <w:rPr>
          <w:rFonts w:ascii="Times New Roman" w:cs="Times New Roman" w:eastAsia="Times New Roman" w:hAnsi="Times New Roman"/>
          <w:sz w:val="18"/>
          <w:szCs w:val="18"/>
          <w:color w:val="auto"/>
        </w:rPr>
      </w:pPr>
    </w:p>
    <w:p>
      <w:pPr>
        <w:ind w:left="1980" w:right="439" w:hanging="360"/>
        <w:spacing w:after="0" w:line="256" w:lineRule="auto"/>
        <w:tabs>
          <w:tab w:leader="none" w:pos="1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22" w:lineRule="exact"/>
        <w:rPr>
          <w:rFonts w:ascii="Times New Roman" w:cs="Times New Roman" w:eastAsia="Times New Roman" w:hAnsi="Times New Roman"/>
          <w:sz w:val="18"/>
          <w:szCs w:val="18"/>
          <w:color w:val="auto"/>
        </w:rPr>
      </w:pPr>
    </w:p>
    <w:p>
      <w:pPr>
        <w:ind w:left="2340" w:right="1059" w:hanging="360"/>
        <w:spacing w:after="0" w:line="282" w:lineRule="auto"/>
        <w:tabs>
          <w:tab w:leader="none" w:pos="2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2340" w:right="1279" w:hanging="360"/>
        <w:spacing w:after="0" w:line="282" w:lineRule="auto"/>
        <w:tabs>
          <w:tab w:leader="none" w:pos="2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80" w:lineRule="exact"/>
        <w:rPr>
          <w:rFonts w:ascii="Times New Roman" w:cs="Times New Roman" w:eastAsia="Times New Roman" w:hAnsi="Times New Roman"/>
          <w:sz w:val="18"/>
          <w:szCs w:val="18"/>
          <w:color w:val="auto"/>
        </w:rPr>
      </w:pPr>
    </w:p>
    <w:p>
      <w:pPr>
        <w:jc w:val="both"/>
        <w:ind w:left="2340" w:right="579" w:hanging="360"/>
        <w:spacing w:after="0" w:line="266" w:lineRule="auto"/>
        <w:tabs>
          <w:tab w:leader="none" w:pos="2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2340" w:right="599" w:hanging="360"/>
        <w:spacing w:after="0" w:line="282" w:lineRule="auto"/>
        <w:tabs>
          <w:tab w:leader="none" w:pos="2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rFonts w:ascii="Times New Roman" w:cs="Times New Roman" w:eastAsia="Times New Roman" w:hAnsi="Times New Roman"/>
          <w:sz w:val="18"/>
          <w:szCs w:val="18"/>
          <w:color w:val="auto"/>
        </w:rPr>
      </w:pPr>
    </w:p>
    <w:p>
      <w:pPr>
        <w:ind w:left="1980" w:right="439" w:hanging="360"/>
        <w:spacing w:after="0" w:line="255" w:lineRule="auto"/>
        <w:tabs>
          <w:tab w:leader="none" w:pos="1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ind w:left="1260" w:right="419" w:firstLine="360"/>
        <w:spacing w:after="0" w:line="253" w:lineRule="auto"/>
        <w:tabs>
          <w:tab w:leader="none" w:pos="198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Lordstown, State of Ohio, on August 24, 2022.</w:t>
      </w:r>
    </w:p>
    <w:p>
      <w:pPr>
        <w:spacing w:after="0" w:line="1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LORDSTOWN MOTORS CORP.</w:t>
      </w:r>
    </w:p>
    <w:p>
      <w:pPr>
        <w:spacing w:after="0" w:line="32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Edward T.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51435</wp:posOffset>
            </wp:positionV>
            <wp:extent cx="22371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Edward T. Hightower</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6"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Edward T. Hightower, Adam Kroll and Melissa A. Leonard,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343"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14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spacing w:after="0"/>
              <w:rPr>
                <w:sz w:val="19"/>
                <w:szCs w:val="19"/>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340" w:type="dxa"/>
            <w:vAlign w:val="bottom"/>
          </w:tcPr>
          <w:p>
            <w:pPr>
              <w:spacing w:after="0"/>
              <w:rPr>
                <w:sz w:val="24"/>
                <w:szCs w:val="24"/>
                <w:color w:val="auto"/>
              </w:rPr>
            </w:pPr>
          </w:p>
        </w:tc>
        <w:tc>
          <w:tcPr>
            <w:tcW w:w="280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rPr>
              <w:t>/s/ Edward T. Hightower</w:t>
            </w:r>
          </w:p>
        </w:tc>
        <w:tc>
          <w:tcPr>
            <w:tcW w:w="2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24, 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4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800" w:type="dxa"/>
            <w:vAlign w:val="bottom"/>
            <w:vMerge w:val="restart"/>
          </w:tcPr>
          <w:p>
            <w:pPr>
              <w:jc w:val="center"/>
              <w:ind w:right="251"/>
              <w:spacing w:after="0"/>
              <w:rPr>
                <w:sz w:val="20"/>
                <w:szCs w:val="20"/>
                <w:color w:val="auto"/>
              </w:rPr>
            </w:pPr>
            <w:r>
              <w:rPr>
                <w:rFonts w:ascii="Times New Roman" w:cs="Times New Roman" w:eastAsia="Times New Roman" w:hAnsi="Times New Roman"/>
                <w:sz w:val="18"/>
                <w:szCs w:val="18"/>
                <w:color w:val="auto"/>
              </w:rPr>
              <w:t>Edward T. Hightower</w:t>
            </w:r>
          </w:p>
        </w:tc>
        <w:tc>
          <w:tcPr>
            <w:tcW w:w="200" w:type="dxa"/>
            <w:vAlign w:val="bottom"/>
          </w:tcPr>
          <w:p>
            <w:pPr>
              <w:spacing w:after="0"/>
              <w:rPr>
                <w:sz w:val="12"/>
                <w:szCs w:val="12"/>
                <w:color w:val="auto"/>
              </w:rPr>
            </w:pPr>
          </w:p>
        </w:tc>
        <w:tc>
          <w:tcPr>
            <w:tcW w:w="3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28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rPr>
              <w:t>/s/ Adam Kroll</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24,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2"/>
        </w:trPr>
        <w:tc>
          <w:tcPr>
            <w:tcW w:w="34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w:t>
            </w:r>
          </w:p>
        </w:tc>
        <w:tc>
          <w:tcPr>
            <w:tcW w:w="2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2800" w:type="dxa"/>
            <w:vAlign w:val="bottom"/>
            <w:vMerge w:val="restart"/>
          </w:tcPr>
          <w:p>
            <w:pPr>
              <w:jc w:val="center"/>
              <w:ind w:right="251"/>
              <w:spacing w:after="0"/>
              <w:rPr>
                <w:sz w:val="20"/>
                <w:szCs w:val="20"/>
                <w:color w:val="auto"/>
              </w:rPr>
            </w:pPr>
            <w:r>
              <w:rPr>
                <w:rFonts w:ascii="Times New Roman" w:cs="Times New Roman" w:eastAsia="Times New Roman" w:hAnsi="Times New Roman"/>
                <w:sz w:val="18"/>
                <w:szCs w:val="18"/>
                <w:color w:val="auto"/>
              </w:rPr>
              <w:t>Adam Kroll</w:t>
            </w:r>
          </w:p>
        </w:tc>
        <w:tc>
          <w:tcPr>
            <w:tcW w:w="200" w:type="dxa"/>
            <w:vAlign w:val="bottom"/>
          </w:tcPr>
          <w:p>
            <w:pPr>
              <w:spacing w:after="0"/>
              <w:rPr>
                <w:sz w:val="10"/>
                <w:szCs w:val="10"/>
                <w:color w:val="auto"/>
              </w:rPr>
            </w:pPr>
          </w:p>
        </w:tc>
        <w:tc>
          <w:tcPr>
            <w:tcW w:w="31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rPr>
              <w:t>/s/ Daniel A. Ninivaggi</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24,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4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80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rPr>
              <w:t>Daniel A. Ninivaggi</w:t>
            </w:r>
          </w:p>
        </w:tc>
        <w:tc>
          <w:tcPr>
            <w:tcW w:w="2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rPr>
              <w:t>/s/ David T. Hamamoto</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24,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4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80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rPr>
              <w:t>David T. Hamamoto</w:t>
            </w:r>
          </w:p>
        </w:tc>
        <w:tc>
          <w:tcPr>
            <w:tcW w:w="2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rPr>
              <w:t>/s/ Keith Feldman</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24,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4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80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rPr>
              <w:t>Keith Feldman</w:t>
            </w:r>
          </w:p>
        </w:tc>
        <w:tc>
          <w:tcPr>
            <w:tcW w:w="2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rPr>
              <w:t>/s/ Jane Reiss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24,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4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80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rPr>
              <w:t>Jane Reiss</w:t>
            </w:r>
          </w:p>
        </w:tc>
        <w:tc>
          <w:tcPr>
            <w:tcW w:w="2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rPr>
              <w:t>/s/ Dale Spencer</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24,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4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80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rPr>
              <w:t>Dale Spencer</w:t>
            </w:r>
          </w:p>
        </w:tc>
        <w:tc>
          <w:tcPr>
            <w:tcW w:w="2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41910</wp:posOffset>
            </wp:positionV>
            <wp:extent cx="19888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Angela Strand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51435</wp:posOffset>
            </wp:positionV>
            <wp:extent cx="19888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Angela Strand</w:t>
      </w:r>
    </w:p>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 Laura Soave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51435</wp:posOffset>
            </wp:positionV>
            <wp:extent cx="19888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Laura Soave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B. Anderson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51435</wp:posOffset>
            </wp:positionV>
            <wp:extent cx="19888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Joseph B. Anderson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24,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87"/>
        </w:trPr>
        <w:tc>
          <w:tcPr>
            <w:tcW w:w="16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24,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5"/>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24,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3">
            <w:col w:w="1300" w:space="540"/>
            <w:col w:w="1960" w:space="640"/>
            <w:col w:w="5439"/>
          </w:cols>
          <w:pgMar w:left="580" w:top="97" w:right="1440"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LORDSTOWN MOTORS CORP.</w:t>
      </w:r>
    </w:p>
    <w:p>
      <w:pPr>
        <w:spacing w:after="0" w:line="23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9" w:lineRule="exact"/>
        <w:rPr>
          <w:sz w:val="20"/>
          <w:szCs w:val="20"/>
          <w:color w:val="auto"/>
        </w:rPr>
      </w:pPr>
    </w:p>
    <w:tbl>
      <w:tblPr>
        <w:tblLayout w:type="fixed"/>
        <w:tblInd w:w="376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Dated as of</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r>
    </w:tbl>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802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2"/>
        </w:trPr>
        <w:tc>
          <w:tcPr>
            <w:tcW w:w="7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79"/>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INCORPORATION BY REFERENCE</w:t>
            </w:r>
          </w:p>
        </w:tc>
        <w:tc>
          <w:tcPr>
            <w:tcW w:w="21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8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Definitions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1.3</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Rules of Construction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8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SECURITIES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8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Issuable in Series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Establishment of Terms of Series of Securities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2.4</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Registrar and Paying Agent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2.5</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2.6</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Securityholder Lists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2.7</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Transfer and Exchange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2.8</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2.9</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Outstanding Securities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2.10</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Treasury Securities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2.11</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Temporary Securities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2.12</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2.13</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Defaulted Interest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2.14</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Global Securities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2.15</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CUSIP Numbers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8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REDEMPTION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8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to Trustee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Selection of Securities to be Redeemed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3.3</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of Redemption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3.4</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3.5</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3.6</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8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COVENANTS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8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of Principal and Interest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4.2</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 Reports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4.3</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Certificate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4.4</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Stay, Extension and Usury Laws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SUCCESSORS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When Company May Merge, Etc.</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5.2</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 Corporation Substituted</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DEFAULTS AND REMEDIES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Events of Default</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6.2</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6.3</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6.4</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6.5</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6.6</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6.7</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 on Suits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6.8</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Unconditional Right of Holders to Receive Principal and Interest</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6.9</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6.10</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6.11</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6.12</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Control by Holders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6.13</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of Past Defaults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6.14</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Undertaking for Costs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TRUSTEE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14"/>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Duties of Trustee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7.2</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 of Trustee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7.3</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7.4</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Trustee’s Disclaimer</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7.5</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of Defaults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7.6</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Reports by Trustee to Holders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7.7</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7.8</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Replacement of Trustee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7.9</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7.10</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7.11</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Preferential Collection of Claims Against Company</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SATISFACTION AND DISCHARGE; DEFEASANCE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4"/>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8.1</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8.2</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Application of Trust Funds; Indemnification</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8.3</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 Defeasance of Securities of any Series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8.4</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Covenant Defeasance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8.5</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Repayment to Company</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8.6</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Reinstatement</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AMENDMENTS AND WAIVERS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4"/>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Without Consent of Holders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9.2</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 Consent of Holders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9.3</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Limitations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9.4</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Compliance with Trust Indenture Act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9.5</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9.6</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Notation on or Exchange of Securities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9.7</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Trustee Protected</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4"/>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Indenture Act Controls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10.3</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by Holders with Other Holders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Holidays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10.8</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Recourse Against Others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10.9</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Counterparts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10.10</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Governing Law; Waiver of Jury Trial; Consent to Jurisdiction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10.11</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10.12</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Successors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10.13</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Severability</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10.14</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10.15</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in a Foreign Currency</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10.16</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Judgment Currency</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10.17</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Force Majeure</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10.18</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 Patriot Act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32"/>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SINKING FUNDS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4"/>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Applicability of Article</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11.2</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11.3</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Lordstown Motors Corp.</w:t>
      </w:r>
    </w:p>
    <w:p>
      <w:pPr>
        <w:spacing w:after="0" w:line="229" w:lineRule="exact"/>
        <w:rPr>
          <w:sz w:val="20"/>
          <w:szCs w:val="20"/>
          <w:color w:val="auto"/>
        </w:rPr>
      </w:pPr>
    </w:p>
    <w:p>
      <w:pPr>
        <w:jc w:val="right"/>
        <w:ind w:right="1219"/>
        <w:spacing w:after="0"/>
        <w:rPr>
          <w:sz w:val="20"/>
          <w:szCs w:val="20"/>
          <w:color w:val="auto"/>
        </w:rPr>
      </w:pPr>
      <w:r>
        <w:rPr>
          <w:rFonts w:ascii="Times New Roman" w:cs="Times New Roman" w:eastAsia="Times New Roman" w:hAnsi="Times New Roman"/>
          <w:sz w:val="18"/>
          <w:szCs w:val="18"/>
          <w:color w:val="auto"/>
        </w:rPr>
        <w:t>Reconciliation and tie between Trust Indenture Act of 1939 and Indenture, dated as of  , 20</w:t>
      </w:r>
    </w:p>
    <w:p>
      <w:pPr>
        <w:spacing w:after="0" w:line="225" w:lineRule="exact"/>
        <w:rPr>
          <w:sz w:val="20"/>
          <w:szCs w:val="20"/>
          <w:color w:val="auto"/>
        </w:rPr>
      </w:pPr>
    </w:p>
    <w:tbl>
      <w:tblPr>
        <w:tblLayout w:type="fixed"/>
        <w:tblInd w:w="4020" w:type="dxa"/>
        <w:tblCellMar>
          <w:top w:w="0" w:type="dxa"/>
          <w:left w:w="0" w:type="dxa"/>
          <w:bottom w:w="0" w:type="dxa"/>
          <w:right w:w="0" w:type="dxa"/>
        </w:tblCellMar>
      </w:tblP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8"/>
              </w:rPr>
              <w:t>§ 310(a)(1)</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(a)(2)</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(a)(3)</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(a)(4)</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(a)(5)</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(b)</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 311(a)</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(b)</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(c)</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 312(a)</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(b)</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(c)</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 313(a)</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(b)(1)</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(b)(2)</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(c)(1)</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(d)</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 314(a)</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4.2, 10.5</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(b)</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(c)(1)</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(c)(2)</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(c)(3)</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(d)</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(e)</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(f)</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 315(a)</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(b)</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(c)</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(d)</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(e)</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 316(a)</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(a)(1)(A)</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(a)(1)(B)</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(b)</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8"/>
              </w:rPr>
              <w:t>§ 317(a)(1)</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(a)(2)</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(b)</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 318(a)</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part of the Indenture.</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Indenture dated as of _____________, 20____, between Lordstown Motors Corp., a company incorporated under the laws of Delaware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_______________, a national banking association organized under the laws of the United States,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party agrees as follows for the benefit of the other party and for the equal and ratable benefit of the Holders of the Securities issued under this Indenture.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INCORPORATION BY REFERENCE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Paying Agent or Notice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thereof.</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any and all shares, interests, participations, rights or other equivalents (however designated) of corporate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means a written order signed in the name of the Company by an Officer.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xml:space="preserve">” means the principal office of the Trustee at which at any time this Indenture shall be administered, which office as of the date hereof is located at the address specified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With respect to presentation for transfer or exchange, conversions or principal payment, such address shall be at the address specified in Section </w:t>
      </w:r>
      <w:r>
        <w:rPr>
          <w:rFonts w:ascii="Times New Roman" w:cs="Times New Roman" w:eastAsia="Times New Roman" w:hAnsi="Times New Roman"/>
          <w:sz w:val="18"/>
          <w:szCs w:val="18"/>
          <w:u w:val="single" w:color="auto"/>
          <w:color w:val="auto"/>
        </w:rPr>
        <w:t>10.2</w:t>
      </w:r>
      <w:r>
        <w:rPr>
          <w:rFonts w:ascii="Times New Roman" w:cs="Times New Roman" w:eastAsia="Times New Roman" w:hAnsi="Times New Roman"/>
          <w:sz w:val="18"/>
          <w:szCs w:val="18"/>
          <w:color w:val="auto"/>
        </w:rPr>
        <w:t>, or such other address as the Trustee may designate from time to time by written notice to the Holders and the Company, or the principal corporate trust office of any successor Trustee (or such other address as such successor Trustee may designate from time to time by written notice to the Holders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 Security</w:t>
      </w:r>
      <w:r>
        <w:rPr>
          <w:rFonts w:ascii="Times New Roman" w:cs="Times New Roman" w:eastAsia="Times New Roman" w:hAnsi="Times New Roman"/>
          <w:sz w:val="18"/>
          <w:szCs w:val="18"/>
          <w:color w:val="auto"/>
        </w:rPr>
        <w:t xml:space="preserve">” means any Security that provides for an amount less than the stated principal amount thereof to be due and payable upon declaration of acceleration of the maturity thereof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the currency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means any currency or currency unit issued by a government other than the government of the United States of America.</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Government Obligations</w:t>
      </w:r>
      <w:r>
        <w:rPr>
          <w:rFonts w:ascii="Times New Roman" w:cs="Times New Roman" w:eastAsia="Times New Roman" w:hAnsi="Times New Roman"/>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means accounting principles generally accepted in the United States of America set forth in the opinions and pronouncements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xml:space="preserve">” means a Security or Securities, as the case may be, in the form established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evidencing all or part of a Series of Securities, issued to the Depositary for such Series or its nominee, and registered in the name of such Depositary or nominee.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Securityholder</w:t>
      </w:r>
      <w:r>
        <w:rPr>
          <w:rFonts w:ascii="Times New Roman" w:cs="Times New Roman" w:eastAsia="Times New Roman" w:hAnsi="Times New Roman"/>
          <w:sz w:val="18"/>
          <w:szCs w:val="18"/>
          <w:color w:val="auto"/>
        </w:rPr>
        <w:t>” means a person in whose name a Security is registered on the books of the Registrar.</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 and shall include the form and terms of particular Series of Securities established as contemplated 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with respect to any Discount Security which by its terms bears interest only after Maturity, means interest payable after Maturity.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1" w:name="page42"/>
    <w:bookmarkEnd w:id="41"/>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Chief Executive Officer, the Chief Financial Officer, the Treasurer or any Assistant Treasurer, the Secretary or any Assistant Secretary, and any Vice President of the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xml:space="preserve">” means a certificate signed by any Officer that meets the requirements of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of legal counsel who is acceptable to the Trustee. The opinion may contain customary limitations, qualifications, conditions and exceptions. The counsel may be an employee of or counsel to the Company.</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of a Security means the principal of the Security plus, when appropriate, the premium, if any, on, and any Additional Amounts in respect of, the Security.</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means any officer of the Trustee in its Corporate Trust Office having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means the debentures, notes or other debt instruments of the Company of any Series authenticated and delivered under this Indenture.</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Series of Securities</w:t>
      </w:r>
      <w:r>
        <w:rPr>
          <w:rFonts w:ascii="Times New Roman" w:cs="Times New Roman" w:eastAsia="Times New Roman" w:hAnsi="Times New Roman"/>
          <w:sz w:val="18"/>
          <w:szCs w:val="18"/>
          <w:color w:val="auto"/>
        </w:rPr>
        <w:t xml:space="preserve">” means each series of debentures, notes or other debt instruments of the Company created pursuant to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when used with respect to any Security, means the date specified in such Security as the fixed date on which the principal of such Security or interest is due and payable.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xml:space="preserve">” means the Trust Indenture Act of 1939 (15 U.S. Code §§ 77aaa-77bbbb) as in effect on the date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Trust Indenture Act of 1939 is amended after such date, “TIA” means, to the extent required by any such amendment, the Trust Indenture Act as so amended.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2" w:name="page43"/>
    <w:bookmarkEnd w:id="4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7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1.2            Other Definitions.</w:t>
            </w:r>
          </w:p>
        </w:tc>
        <w:tc>
          <w:tcPr>
            <w:tcW w:w="1900" w:type="dxa"/>
            <w:vAlign w:val="bottom"/>
          </w:tcPr>
          <w:p>
            <w:pPr>
              <w:spacing w:after="0"/>
              <w:rPr>
                <w:sz w:val="17"/>
                <w:szCs w:val="17"/>
                <w:color w:val="auto"/>
              </w:rPr>
            </w:pPr>
          </w:p>
        </w:tc>
      </w:tr>
      <w:tr>
        <w:trPr>
          <w:trHeight w:val="466"/>
        </w:trPr>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608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TERM</w:t>
            </w:r>
          </w:p>
        </w:tc>
        <w:tc>
          <w:tcPr>
            <w:tcW w:w="1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DEFINED IN SECTION</w:t>
            </w:r>
          </w:p>
        </w:tc>
      </w:tr>
      <w:tr>
        <w:trPr>
          <w:trHeight w:val="209"/>
        </w:trPr>
        <w:tc>
          <w:tcPr>
            <w:tcW w:w="200" w:type="dxa"/>
            <w:vAlign w:val="bottom"/>
          </w:tcPr>
          <w:p>
            <w:pPr>
              <w:spacing w:after="0"/>
              <w:rPr>
                <w:sz w:val="18"/>
                <w:szCs w:val="18"/>
                <w:color w:val="auto"/>
              </w:rPr>
            </w:pPr>
          </w:p>
        </w:tc>
        <w:tc>
          <w:tcPr>
            <w:tcW w:w="74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r>
      <w:tr>
        <w:trPr>
          <w:trHeight w:val="216"/>
        </w:trPr>
        <w:tc>
          <w:tcPr>
            <w:tcW w:w="200" w:type="dxa"/>
            <w:vAlign w:val="bottom"/>
          </w:tcPr>
          <w:p>
            <w:pPr>
              <w:spacing w:after="0"/>
              <w:rPr>
                <w:sz w:val="18"/>
                <w:szCs w:val="18"/>
                <w:color w:val="auto"/>
              </w:rPr>
            </w:pPr>
          </w:p>
        </w:tc>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r>
      <w:tr>
        <w:trPr>
          <w:trHeight w:val="216"/>
        </w:trPr>
        <w:tc>
          <w:tcPr>
            <w:tcW w:w="200" w:type="dxa"/>
            <w:vAlign w:val="bottom"/>
          </w:tcPr>
          <w:p>
            <w:pPr>
              <w:spacing w:after="0"/>
              <w:rPr>
                <w:sz w:val="18"/>
                <w:szCs w:val="18"/>
                <w:color w:val="auto"/>
              </w:rPr>
            </w:pPr>
          </w:p>
        </w:tc>
        <w:tc>
          <w:tcPr>
            <w:tcW w:w="7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r>
      <w:tr>
        <w:trPr>
          <w:trHeight w:val="216"/>
        </w:trPr>
        <w:tc>
          <w:tcPr>
            <w:tcW w:w="200" w:type="dxa"/>
            <w:vAlign w:val="bottom"/>
          </w:tcPr>
          <w:p>
            <w:pPr>
              <w:spacing w:after="0"/>
              <w:rPr>
                <w:sz w:val="18"/>
                <w:szCs w:val="18"/>
                <w:color w:val="auto"/>
              </w:rPr>
            </w:pPr>
          </w:p>
        </w:tc>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r>
      <w:tr>
        <w:trPr>
          <w:trHeight w:val="216"/>
        </w:trPr>
        <w:tc>
          <w:tcPr>
            <w:tcW w:w="200" w:type="dxa"/>
            <w:vAlign w:val="bottom"/>
          </w:tcPr>
          <w:p>
            <w:pPr>
              <w:spacing w:after="0"/>
              <w:rPr>
                <w:sz w:val="18"/>
                <w:szCs w:val="18"/>
                <w:color w:val="auto"/>
              </w:rPr>
            </w:pPr>
          </w:p>
        </w:tc>
        <w:tc>
          <w:tcPr>
            <w:tcW w:w="7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200" w:type="dxa"/>
            <w:vAlign w:val="bottom"/>
          </w:tcPr>
          <w:p>
            <w:pPr>
              <w:spacing w:after="0"/>
              <w:rPr>
                <w:sz w:val="18"/>
                <w:szCs w:val="18"/>
                <w:color w:val="auto"/>
              </w:rPr>
            </w:pPr>
          </w:p>
        </w:tc>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11.1</w:t>
            </w:r>
          </w:p>
        </w:tc>
      </w:tr>
      <w:tr>
        <w:trPr>
          <w:trHeight w:val="216"/>
        </w:trPr>
        <w:tc>
          <w:tcPr>
            <w:tcW w:w="200" w:type="dxa"/>
            <w:vAlign w:val="bottom"/>
          </w:tcPr>
          <w:p>
            <w:pPr>
              <w:spacing w:after="0"/>
              <w:rPr>
                <w:sz w:val="18"/>
                <w:szCs w:val="18"/>
                <w:color w:val="auto"/>
              </w:rPr>
            </w:pPr>
          </w:p>
        </w:tc>
        <w:tc>
          <w:tcPr>
            <w:tcW w:w="7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r>
      <w:tr>
        <w:trPr>
          <w:trHeight w:val="216"/>
        </w:trPr>
        <w:tc>
          <w:tcPr>
            <w:tcW w:w="200" w:type="dxa"/>
            <w:vAlign w:val="bottom"/>
          </w:tcPr>
          <w:p>
            <w:pPr>
              <w:spacing w:after="0"/>
              <w:rPr>
                <w:sz w:val="18"/>
                <w:szCs w:val="18"/>
                <w:color w:val="auto"/>
              </w:rPr>
            </w:pPr>
          </w:p>
        </w:tc>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r>
      <w:tr>
        <w:trPr>
          <w:trHeight w:val="216"/>
        </w:trPr>
        <w:tc>
          <w:tcPr>
            <w:tcW w:w="200" w:type="dxa"/>
            <w:vAlign w:val="bottom"/>
          </w:tcPr>
          <w:p>
            <w:pPr>
              <w:spacing w:after="0"/>
              <w:rPr>
                <w:sz w:val="18"/>
                <w:szCs w:val="18"/>
                <w:color w:val="auto"/>
              </w:rPr>
            </w:pPr>
          </w:p>
        </w:tc>
        <w:tc>
          <w:tcPr>
            <w:tcW w:w="7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optional sinking fund payment</w:t>
            </w:r>
            <w:r>
              <w:rPr>
                <w:rFonts w:ascii="Times New Roman" w:cs="Times New Roman" w:eastAsia="Times New Roman" w:hAnsi="Times New Roman"/>
                <w:sz w:val="18"/>
                <w:szCs w:val="18"/>
                <w:color w:val="auto"/>
              </w:rPr>
              <w:t>”</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11.1</w:t>
            </w:r>
          </w:p>
        </w:tc>
      </w:tr>
      <w:tr>
        <w:trPr>
          <w:trHeight w:val="216"/>
        </w:trPr>
        <w:tc>
          <w:tcPr>
            <w:tcW w:w="200" w:type="dxa"/>
            <w:vAlign w:val="bottom"/>
          </w:tcPr>
          <w:p>
            <w:pPr>
              <w:spacing w:after="0"/>
              <w:rPr>
                <w:sz w:val="18"/>
                <w:szCs w:val="18"/>
                <w:color w:val="auto"/>
              </w:rPr>
            </w:pPr>
          </w:p>
        </w:tc>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r>
      <w:tr>
        <w:trPr>
          <w:trHeight w:val="216"/>
        </w:trPr>
        <w:tc>
          <w:tcPr>
            <w:tcW w:w="200" w:type="dxa"/>
            <w:vAlign w:val="bottom"/>
          </w:tcPr>
          <w:p>
            <w:pPr>
              <w:spacing w:after="0"/>
              <w:rPr>
                <w:sz w:val="18"/>
                <w:szCs w:val="18"/>
                <w:color w:val="auto"/>
              </w:rPr>
            </w:pPr>
          </w:p>
        </w:tc>
        <w:tc>
          <w:tcPr>
            <w:tcW w:w="7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r>
      <w:tr>
        <w:trPr>
          <w:trHeight w:val="216"/>
        </w:trPr>
        <w:tc>
          <w:tcPr>
            <w:tcW w:w="200" w:type="dxa"/>
            <w:vAlign w:val="bottom"/>
          </w:tcPr>
          <w:p>
            <w:pPr>
              <w:spacing w:after="0"/>
              <w:rPr>
                <w:sz w:val="18"/>
                <w:szCs w:val="18"/>
                <w:color w:val="auto"/>
              </w:rPr>
            </w:pPr>
          </w:p>
        </w:tc>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r>
      <w:tr>
        <w:trPr>
          <w:trHeight w:val="216"/>
        </w:trPr>
        <w:tc>
          <w:tcPr>
            <w:tcW w:w="200" w:type="dxa"/>
            <w:vAlign w:val="bottom"/>
          </w:tcPr>
          <w:p>
            <w:pPr>
              <w:spacing w:after="0"/>
              <w:rPr>
                <w:sz w:val="18"/>
                <w:szCs w:val="18"/>
                <w:color w:val="auto"/>
              </w:rPr>
            </w:pPr>
          </w:p>
        </w:tc>
        <w:tc>
          <w:tcPr>
            <w:tcW w:w="7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Courts</w:t>
            </w:r>
            <w:r>
              <w:rPr>
                <w:rFonts w:ascii="Times New Roman" w:cs="Times New Roman" w:eastAsia="Times New Roman" w:hAnsi="Times New Roman"/>
                <w:sz w:val="18"/>
                <w:szCs w:val="18"/>
                <w:color w:val="auto"/>
              </w:rPr>
              <w:t>”</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r>
      <w:tr>
        <w:trPr>
          <w:trHeight w:val="236"/>
        </w:trPr>
        <w:tc>
          <w:tcPr>
            <w:tcW w:w="200" w:type="dxa"/>
            <w:vAlign w:val="bottom"/>
          </w:tcPr>
          <w:p>
            <w:pPr>
              <w:spacing w:after="0"/>
              <w:rPr>
                <w:sz w:val="20"/>
                <w:szCs w:val="20"/>
                <w:color w:val="auto"/>
              </w:rPr>
            </w:pPr>
          </w:p>
        </w:tc>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r>
    </w:tbl>
    <w:p>
      <w:pPr>
        <w:spacing w:after="0" w:line="17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Incorporation by Reference of Trust Indenture Act</w:t>
      </w:r>
      <w:r>
        <w:rPr>
          <w:rFonts w:ascii="Times New Roman" w:cs="Times New Roman" w:eastAsia="Times New Roman" w:hAnsi="Times New Roman"/>
          <w:sz w:val="18"/>
          <w:szCs w:val="18"/>
          <w:color w:val="auto"/>
        </w:rPr>
        <w:t>. Whenever this Indenture refers to a provision of the TIA, the provision is incorporated by reference in and made a part of this Indenture. The following TIA terms used in this Indenture have the following meanings: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SEC.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security holder</w:t>
      </w:r>
      <w:r>
        <w:rPr>
          <w:rFonts w:ascii="Times New Roman" w:cs="Times New Roman" w:eastAsia="Times New Roman" w:hAnsi="Times New Roman"/>
          <w:sz w:val="18"/>
          <w:szCs w:val="18"/>
          <w:color w:val="auto"/>
        </w:rPr>
        <w:t>” means a Securityholder.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to be qualified”</w:t>
      </w:r>
      <w:r>
        <w:rPr>
          <w:rFonts w:ascii="Times New Roman" w:cs="Times New Roman" w:eastAsia="Times New Roman" w:hAnsi="Times New Roman"/>
          <w:sz w:val="18"/>
          <w:szCs w:val="18"/>
          <w:color w:val="auto"/>
        </w:rPr>
        <w:t xml:space="preserve"> means this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institutional trustee</w:t>
      </w:r>
      <w:r>
        <w:rPr>
          <w:rFonts w:ascii="Times New Roman" w:cs="Times New Roman" w:eastAsia="Times New Roman" w:hAnsi="Times New Roman"/>
          <w:sz w:val="18"/>
          <w:szCs w:val="18"/>
          <w:color w:val="auto"/>
        </w:rPr>
        <w:t>” means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on the indenture securities means the Company and any successor obligor upon the Securities.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3" w:name="page44"/>
    <w:bookmarkEnd w:id="4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Rules of Construction</w:t>
      </w:r>
      <w:r>
        <w:rPr>
          <w:rFonts w:ascii="Times New Roman" w:cs="Times New Roman" w:eastAsia="Times New Roman" w:hAnsi="Times New Roman"/>
          <w:sz w:val="18"/>
          <w:szCs w:val="18"/>
          <w:color w:val="auto"/>
        </w:rPr>
        <w:t>. Unless the context otherwise requires: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 a term has the meaning assigned to it;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 accounting term not otherwise defined has the meaning assigned to it in accordance with GAAP;</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is not exclusive;</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words in the singular include the plural, and in the plural include the singular;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provisions apply to successive events and transactions.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Issuable in Series</w:t>
      </w:r>
      <w:r>
        <w:rPr>
          <w:rFonts w:ascii="Times New Roman" w:cs="Times New Roman" w:eastAsia="Times New Roman" w:hAnsi="Times New Roman"/>
          <w:sz w:val="18"/>
          <w:szCs w:val="18"/>
          <w:color w:val="auto"/>
        </w:rPr>
        <w:t>. 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Establishment of Terms of Series of Securities</w:t>
      </w:r>
      <w:r>
        <w:rPr>
          <w:rFonts w:ascii="Times New Roman" w:cs="Times New Roman" w:eastAsia="Times New Roman" w:hAnsi="Times New Roman"/>
          <w:sz w:val="18"/>
          <w:szCs w:val="18"/>
          <w:color w:val="auto"/>
        </w:rPr>
        <w:t xml:space="preserve">. At or prior to the issuance of any Securities within a Series, the following shall be established (as to the Series generally, in the case of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and either as to such Securities within the Series or as to the Series generally in the case of </w:t>
      </w:r>
      <w:r>
        <w:rPr>
          <w:rFonts w:ascii="Times New Roman" w:cs="Times New Roman" w:eastAsia="Times New Roman" w:hAnsi="Times New Roman"/>
          <w:sz w:val="18"/>
          <w:szCs w:val="18"/>
          <w:u w:val="single" w:color="auto"/>
          <w:color w:val="auto"/>
        </w:rPr>
        <w:t>Subsections 2.2.2</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2.2.23</w:t>
      </w:r>
      <w:r>
        <w:rPr>
          <w:rFonts w:ascii="Times New Roman" w:cs="Times New Roman" w:eastAsia="Times New Roman" w:hAnsi="Times New Roman"/>
          <w:sz w:val="18"/>
          <w:szCs w:val="18"/>
          <w:color w:val="auto"/>
        </w:rPr>
        <w:t>) by or pursuant to a Board Resolution, and set forth or determined in the manner provided in a Board Resolution, supplemental indenture hereto or Officer’s Certificate:</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2.2.2         the price or prices (expressed as a percentage of the principal amount thereof) at which the Securities of the Series will be issued;</w:t>
      </w:r>
    </w:p>
    <w:p>
      <w:pPr>
        <w:spacing w:after="0" w:line="23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9.6)</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1300"/>
        <w:spacing w:after="0"/>
        <w:rPr>
          <w:sz w:val="20"/>
          <w:szCs w:val="20"/>
          <w:color w:val="auto"/>
        </w:rPr>
      </w:pPr>
      <w:r>
        <w:rPr>
          <w:rFonts w:ascii="Times New Roman" w:cs="Times New Roman" w:eastAsia="Times New Roman" w:hAnsi="Times New Roman"/>
          <w:sz w:val="18"/>
          <w:szCs w:val="18"/>
          <w:color w:val="auto"/>
        </w:rPr>
        <w:t>2.2.4         the date or dates on which the principal of the Securities of the Series is payable;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0"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2.2.10       if other than denominations of $1,000 and any integral multiple thereof, the denominations in which the Securities of the Series shall be issuable;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2.2.11       the forms of the Securities of the Series and whether the Securities will be issuable as Global Securities;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2.2.12       if other than the principal amount thereof, the portion of the principal amount of the Securities of the Series that shall be payable upon declaration of acceleration of the maturity thereof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2.2.14       the designation of the currency, currencies or currency units in which payment of the principal of and interest, if any, on the Securities of the Series will be made;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2.2.17       the provisions, if any, relating to any security provided for the Securities of the Series;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2.2.18       any addition to, deletion of or change in the Events of Default which applies to any Securities of the Series and any change in the right of the Trustee or the requisite Holders of such Securities to declare the principal amount thereof due and payable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2.2.19       any addition to, deletion of or change in the covenants set forth in </w:t>
      </w:r>
      <w:r>
        <w:rPr>
          <w:rFonts w:ascii="Times New Roman" w:cs="Times New Roman" w:eastAsia="Times New Roman" w:hAnsi="Times New Roman"/>
          <w:sz w:val="18"/>
          <w:szCs w:val="18"/>
          <w:u w:val="single" w:color="auto"/>
          <w:color w:val="auto"/>
        </w:rPr>
        <w:t>Articles 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which applies to Securities of the Series;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2.2.20       any Depositaries, interest rate calculation agents, exchange rate calculation agents, conversion agents or other agents with respect to Securities of such Series if other than those appointed herein;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2.2.23       whether any of the Company’s direct or indirect Subsidiaries will guarantee the Securities of that Series, including the terms of subordination, if any, of such guarantees.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No Board Resolution, supplemental indenture hereto or Officer’s Certificate may affect the Trustee’s own rights, duties or immunities under this Indenture or otherwise with respect to any Series of Securities except as the Trustee may agree in writing.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Execution and Authentication</w:t>
      </w:r>
      <w:r>
        <w:rPr>
          <w:rFonts w:ascii="Times New Roman" w:cs="Times New Roman" w:eastAsia="Times New Roman" w:hAnsi="Times New Roman"/>
          <w:sz w:val="18"/>
          <w:szCs w:val="18"/>
          <w:color w:val="auto"/>
        </w:rPr>
        <w:t>. An Officer shall sign the Securities for the Company by manual or facsimile 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an Officer whose signature is on a Security no longer holds that office at the time the Security is authenticated, the Security shall nevertheless be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aggregate principal amount of Securities of any Series outstanding at any time may not exceed any limit upon the maximum principal amount for such Series set forth in the Board Resolution, supplemental indenture hereto or Officer’s Certificate delivered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Prior to the issuance of Securities of any Series, the Trustee shall have received and (subject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shall be fully protected in relying on:</w:t>
      </w:r>
    </w:p>
    <w:p>
      <w:pPr>
        <w:spacing w:after="0" w:line="27" w:lineRule="exact"/>
        <w:rPr>
          <w:sz w:val="20"/>
          <w:szCs w:val="20"/>
          <w:color w:val="auto"/>
        </w:rPr>
      </w:pPr>
    </w:p>
    <w:p>
      <w:pPr>
        <w:jc w:val="both"/>
        <w:ind w:firstLine="8"/>
        <w:spacing w:after="0" w:line="252" w:lineRule="auto"/>
        <w:tabs>
          <w:tab w:leader="none" w:pos="2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(c) an Opinion of Counsel complying with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and (d) an Opinion of Counsel (which may be the same Opinion of Counsel referred to in the preceding clause (c)) that such Securities, when they have been duly executed, issued, and authenticated in accordance with the terms of the Indenture and delivered against payment therefor in the circumstances described in such Opinion of Counsel, will be legally valid and binding obligations of the Company, enforceable against the Company in accordance with their terms.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shall determine that such action would expose the Trustee to personal liability to Holders of any then-outstanding Series of Securities.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Registrar and Paying Agent</w:t>
      </w:r>
      <w:r>
        <w:rPr>
          <w:rFonts w:ascii="Times New Roman" w:cs="Times New Roman" w:eastAsia="Times New Roman" w:hAnsi="Times New Roman"/>
          <w:sz w:val="18"/>
          <w:szCs w:val="18"/>
          <w:color w:val="auto"/>
        </w:rPr>
        <w:t xml:space="preserve">. The Company shall maintain, with respect to each Series of Securities, at the place or places specified with respect to such Series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an office or agency where Securities of such Series may be presented or surrendered for payment (“</w:t>
      </w:r>
      <w:r>
        <w:rPr>
          <w:rFonts w:ascii="Times New Roman" w:cs="Times New Roman" w:eastAsia="Times New Roman" w:hAnsi="Times New Roman"/>
          <w:sz w:val="18"/>
          <w:szCs w:val="18"/>
          <w:i w:val="1"/>
          <w:iCs w:val="1"/>
          <w:color w:val="auto"/>
        </w:rPr>
        <w:t>Paying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where Securities of such Series may be surrendered for registration of transfer 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where notices and demands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 Company in respect of the Securities of such Series and this Indenture may be delivered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appointment of the Trustee as the Notice Agent shall exclude the appointment of the Trustee or any office of the Trustee as an agent to receive the service of legal process on the Company.</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may from time to time designate one or more co-registrars, additional paying agents or additional notice agents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such designation or rescission shall in any manner relieve the Company of its obligations to maintain a Registrar, Paying Agent and Notice Agent in each place so specified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includes any co-registrar; the term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includes any additional paying agent; and the term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includes any additional notice agent. The Company or any of its Affiliates may serve as Registrar or Paying Agent.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  Paying Agent to Hold Money in Trust</w:t>
      </w:r>
      <w:r>
        <w:rPr>
          <w:rFonts w:ascii="Times New Roman" w:cs="Times New Roman" w:eastAsia="Times New Roman" w:hAnsi="Times New Roman"/>
          <w:sz w:val="18"/>
          <w:szCs w:val="18"/>
          <w:color w:val="auto"/>
        </w:rPr>
        <w:t>. 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  Securityholder Lists</w:t>
      </w:r>
      <w:r>
        <w:rPr>
          <w:rFonts w:ascii="Times New Roman" w:cs="Times New Roman" w:eastAsia="Times New Roman" w:hAnsi="Times New Roman"/>
          <w:sz w:val="18"/>
          <w:szCs w:val="18"/>
          <w:color w:val="auto"/>
        </w:rPr>
        <w:t>. 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  Transfer and Exchange</w:t>
      </w:r>
      <w:r>
        <w:rPr>
          <w:rFonts w:ascii="Times New Roman" w:cs="Times New Roman" w:eastAsia="Times New Roman" w:hAnsi="Times New Roman"/>
          <w:sz w:val="18"/>
          <w:szCs w:val="18"/>
          <w:color w:val="auto"/>
        </w:rPr>
        <w:t xml:space="preserve">. 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  Mutilated, Destroyed, Lost and Stolen Securities</w:t>
      </w:r>
      <w:r>
        <w:rPr>
          <w:rFonts w:ascii="Times New Roman" w:cs="Times New Roman" w:eastAsia="Times New Roman" w:hAnsi="Times New Roman"/>
          <w:sz w:val="18"/>
          <w:szCs w:val="18"/>
          <w:color w:val="auto"/>
        </w:rPr>
        <w:t>. 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there shall be delivered to the Company and the Trustee (i) evidence to their satisfaction of the destruction, loss or theft of any Security and</w:t>
      </w:r>
    </w:p>
    <w:p>
      <w:pPr>
        <w:spacing w:after="0" w:line="27" w:lineRule="exact"/>
        <w:rPr>
          <w:sz w:val="20"/>
          <w:szCs w:val="20"/>
          <w:color w:val="auto"/>
        </w:rPr>
      </w:pPr>
    </w:p>
    <w:p>
      <w:pPr>
        <w:jc w:val="both"/>
        <w:ind w:firstLine="8"/>
        <w:spacing w:after="0" w:line="253" w:lineRule="auto"/>
        <w:tabs>
          <w:tab w:leader="none" w:pos="2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  Outstanding Securities</w:t>
      </w:r>
      <w:r>
        <w:rPr>
          <w:rFonts w:ascii="Times New Roman" w:cs="Times New Roman" w:eastAsia="Times New Roman" w:hAnsi="Times New Roman"/>
          <w:sz w:val="18"/>
          <w:szCs w:val="18"/>
          <w:color w:val="auto"/>
        </w:rPr>
        <w:t>. 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a Security is replaced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it ceases to be outstanding until the Trustee receives proof satisfactory to it that the replaced Security is held by a bona fide purchaser.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Company may purchase or otherwise acquire the Securities, whether by open market purchases, negotiated transactions or otherwise. A Security does not cease to be outstanding because the Company or an Affiliate of the Company holds the Security (but see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below).</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  Treasury Securities</w:t>
      </w:r>
      <w:r>
        <w:rPr>
          <w:rFonts w:ascii="Times New Roman" w:cs="Times New Roman" w:eastAsia="Times New Roman" w:hAnsi="Times New Roman"/>
          <w:sz w:val="18"/>
          <w:szCs w:val="18"/>
          <w:color w:val="auto"/>
        </w:rPr>
        <w:t>. 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  Temporary Securities</w:t>
      </w:r>
      <w:r>
        <w:rPr>
          <w:rFonts w:ascii="Times New Roman" w:cs="Times New Roman" w:eastAsia="Times New Roman" w:hAnsi="Times New Roman"/>
          <w:sz w:val="18"/>
          <w:szCs w:val="18"/>
          <w:color w:val="auto"/>
        </w:rPr>
        <w:t>. 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  Cancellation</w:t>
      </w:r>
      <w:r>
        <w:rPr>
          <w:rFonts w:ascii="Times New Roman" w:cs="Times New Roman" w:eastAsia="Times New Roman" w:hAnsi="Times New Roman"/>
          <w:sz w:val="18"/>
          <w:szCs w:val="18"/>
          <w:color w:val="auto"/>
        </w:rPr>
        <w:t>. 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in accordance with its customary procedures (subject to the record retention requirements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  Defaulted Interest</w:t>
      </w:r>
      <w:r>
        <w:rPr>
          <w:rFonts w:ascii="Times New Roman" w:cs="Times New Roman" w:eastAsia="Times New Roman" w:hAnsi="Times New Roman"/>
          <w:sz w:val="18"/>
          <w:szCs w:val="18"/>
          <w:color w:val="auto"/>
        </w:rPr>
        <w:t>. 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  Global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2.14.1     </w:t>
      </w:r>
      <w:r>
        <w:rPr>
          <w:rFonts w:ascii="Times New Roman" w:cs="Times New Roman" w:eastAsia="Times New Roman" w:hAnsi="Times New Roman"/>
          <w:sz w:val="18"/>
          <w:szCs w:val="18"/>
          <w:u w:val="single" w:color="auto"/>
          <w:color w:val="auto"/>
        </w:rPr>
        <w:t>  Terms of Securities</w:t>
      </w:r>
      <w:r>
        <w:rPr>
          <w:rFonts w:ascii="Times New Roman" w:cs="Times New Roman" w:eastAsia="Times New Roman" w:hAnsi="Times New Roman"/>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2.14.2     </w:t>
      </w:r>
      <w:r>
        <w:rPr>
          <w:rFonts w:ascii="Times New Roman" w:cs="Times New Roman" w:eastAsia="Times New Roman" w:hAnsi="Times New Roman"/>
          <w:sz w:val="18"/>
          <w:szCs w:val="18"/>
          <w:u w:val="single" w:color="auto"/>
          <w:color w:val="auto"/>
        </w:rPr>
        <w:t>  Transfer and Exchange</w:t>
      </w:r>
      <w:r>
        <w:rPr>
          <w:rFonts w:ascii="Times New Roman" w:cs="Times New Roman" w:eastAsia="Times New Roman" w:hAnsi="Times New Roman"/>
          <w:sz w:val="18"/>
          <w:szCs w:val="18"/>
          <w:color w:val="auto"/>
        </w:rPr>
        <w:t xml:space="preserve">. Notwithstanding any provisions to the contrary contained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of the Indenture and in addition thereto, any Global Security shall be exchangeable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Except as provided in this </w:t>
      </w:r>
      <w:r>
        <w:rPr>
          <w:rFonts w:ascii="Times New Roman" w:cs="Times New Roman" w:eastAsia="Times New Roman" w:hAnsi="Times New Roman"/>
          <w:sz w:val="18"/>
          <w:szCs w:val="18"/>
          <w:u w:val="single" w:color="auto"/>
          <w:color w:val="auto"/>
        </w:rPr>
        <w:t>Section 2.14.2</w:t>
      </w:r>
      <w:r>
        <w:rPr>
          <w:rFonts w:ascii="Times New Roman" w:cs="Times New Roman" w:eastAsia="Times New Roman" w:hAnsi="Times New Roman"/>
          <w:sz w:val="18"/>
          <w:szCs w:val="18"/>
          <w:color w:val="auto"/>
        </w:rPr>
        <w:t>,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Neither the Trustee nor any Agent shall have any responsibility for any actions taken or not taken by the Depositary.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2.14.3     </w:t>
      </w:r>
      <w:r>
        <w:rPr>
          <w:rFonts w:ascii="Times New Roman" w:cs="Times New Roman" w:eastAsia="Times New Roman" w:hAnsi="Times New Roman"/>
          <w:sz w:val="18"/>
          <w:szCs w:val="18"/>
          <w:u w:val="single" w:color="auto"/>
          <w:color w:val="auto"/>
        </w:rPr>
        <w:t>  Legends</w:t>
      </w:r>
      <w:r>
        <w:rPr>
          <w:rFonts w:ascii="Times New Roman" w:cs="Times New Roman" w:eastAsia="Times New Roman" w:hAnsi="Times New Roman"/>
          <w:sz w:val="18"/>
          <w:szCs w:val="18"/>
          <w:color w:val="auto"/>
        </w:rPr>
        <w:t>. Any Global Security issued hereunder shall bear a legend in substantially the following form:</w:t>
      </w:r>
    </w:p>
    <w:p>
      <w:pPr>
        <w:spacing w:after="0" w:line="22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In addition, so long as the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is the Depositary, each Global Note registered in the name of DTC or its nominee shall bear a legend in substantially the following form:</w:t>
      </w:r>
    </w:p>
    <w:p>
      <w:pPr>
        <w:spacing w:after="0" w:line="16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THE REGISTERED OWNER HEREOF, CEDE &amp; CO., HAS AN INTEREST HEREIN.”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firstLine="1296"/>
        <w:spacing w:after="0" w:line="282" w:lineRule="auto"/>
        <w:rPr>
          <w:sz w:val="20"/>
          <w:szCs w:val="20"/>
          <w:color w:val="auto"/>
        </w:rPr>
      </w:pPr>
      <w:r>
        <w:rPr>
          <w:rFonts w:ascii="Times New Roman" w:cs="Times New Roman" w:eastAsia="Times New Roman" w:hAnsi="Times New Roman"/>
          <w:sz w:val="18"/>
          <w:szCs w:val="18"/>
          <w:color w:val="auto"/>
        </w:rPr>
        <w:t>2.14.4     </w:t>
      </w:r>
      <w:r>
        <w:rPr>
          <w:rFonts w:ascii="Times New Roman" w:cs="Times New Roman" w:eastAsia="Times New Roman" w:hAnsi="Times New Roman"/>
          <w:sz w:val="18"/>
          <w:szCs w:val="18"/>
          <w:u w:val="single" w:color="auto"/>
          <w:color w:val="auto"/>
        </w:rPr>
        <w:t>  Acts of Holders</w:t>
      </w:r>
      <w:r>
        <w:rPr>
          <w:rFonts w:ascii="Times New Roman" w:cs="Times New Roman" w:eastAsia="Times New Roman" w:hAnsi="Times New Roman"/>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62"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(a)            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spacing w:after="0" w:line="189"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(b)            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The ownership of Global Securities or any Securities issued in certificated form shall be proved by the Registrar.</w:t>
      </w:r>
    </w:p>
    <w:p>
      <w:pPr>
        <w:spacing w:after="0" w:line="225"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(d)            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0"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(e)            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2.14.5     </w:t>
      </w:r>
      <w:r>
        <w:rPr>
          <w:rFonts w:ascii="Times New Roman" w:cs="Times New Roman" w:eastAsia="Times New Roman" w:hAnsi="Times New Roman"/>
          <w:sz w:val="18"/>
          <w:szCs w:val="18"/>
          <w:u w:val="single" w:color="auto"/>
          <w:color w:val="auto"/>
        </w:rPr>
        <w:t>  Payments</w:t>
      </w:r>
      <w:r>
        <w:rPr>
          <w:rFonts w:ascii="Times New Roman" w:cs="Times New Roman" w:eastAsia="Times New Roman" w:hAnsi="Times New Roman"/>
          <w:sz w:val="18"/>
          <w:szCs w:val="18"/>
          <w:color w:val="auto"/>
        </w:rPr>
        <w:t xml:space="preserve">. Notwithstanding the other provisions of this Indenture, unless otherwise specified as contemplated by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payment of the principal of and interest, if any, on any Global Security shall be made to the Holder thereof.</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2.14.6     </w:t>
      </w:r>
      <w:r>
        <w:rPr>
          <w:rFonts w:ascii="Times New Roman" w:cs="Times New Roman" w:eastAsia="Times New Roman" w:hAnsi="Times New Roman"/>
          <w:sz w:val="18"/>
          <w:szCs w:val="18"/>
          <w:u w:val="single" w:color="auto"/>
          <w:color w:val="auto"/>
        </w:rPr>
        <w:t>  Consents, Declaration and Directions</w:t>
      </w:r>
      <w:r>
        <w:rPr>
          <w:rFonts w:ascii="Times New Roman" w:cs="Times New Roman" w:eastAsia="Times New Roman" w:hAnsi="Times New Roman"/>
          <w:sz w:val="18"/>
          <w:szCs w:val="18"/>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  CUSIP Numbers</w:t>
      </w:r>
      <w:r>
        <w:rPr>
          <w:rFonts w:ascii="Times New Roman" w:cs="Times New Roman" w:eastAsia="Times New Roman" w:hAnsi="Times New Roman"/>
          <w:sz w:val="18"/>
          <w:szCs w:val="18"/>
          <w:color w:val="auto"/>
        </w:rPr>
        <w:t xml:space="preserve">. 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that the Company is aware of in the CUSIP numbers.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Notice to Trustee</w:t>
      </w:r>
      <w:r>
        <w:rPr>
          <w:rFonts w:ascii="Times New Roman" w:cs="Times New Roman" w:eastAsia="Times New Roman" w:hAnsi="Times New Roman"/>
          <w:sz w:val="18"/>
          <w:szCs w:val="18"/>
          <w:color w:val="auto"/>
        </w:rPr>
        <w:t>. 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5 days before the notice is delivered to the Holders, unless a shorter period is satisfactory to the Trustee.</w:t>
      </w:r>
    </w:p>
    <w:p>
      <w:pPr>
        <w:spacing w:after="0" w:line="18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3.2         </w:t>
      </w:r>
      <w:r>
        <w:rPr>
          <w:rFonts w:ascii="Times New Roman" w:cs="Times New Roman" w:eastAsia="Times New Roman" w:hAnsi="Times New Roman"/>
          <w:sz w:val="17"/>
          <w:szCs w:val="17"/>
          <w:u w:val="single" w:color="auto"/>
          <w:color w:val="auto"/>
        </w:rPr>
        <w:t>  Selection of Securities to be Redeemed</w:t>
      </w:r>
      <w:r>
        <w:rPr>
          <w:rFonts w:ascii="Times New Roman" w:cs="Times New Roman" w:eastAsia="Times New Roman" w:hAnsi="Times New Roman"/>
          <w:sz w:val="17"/>
          <w:szCs w:val="17"/>
          <w:color w:val="auto"/>
        </w:rPr>
        <w:t>. 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w:t>
      </w:r>
    </w:p>
    <w:p>
      <w:pPr>
        <w:spacing w:after="0" w:line="3" w:lineRule="exact"/>
        <w:rPr>
          <w:sz w:val="20"/>
          <w:szCs w:val="20"/>
          <w:color w:val="auto"/>
        </w:rPr>
      </w:pPr>
    </w:p>
    <w:p>
      <w:pPr>
        <w:jc w:val="both"/>
        <w:ind w:firstLine="8"/>
        <w:spacing w:after="0" w:line="251" w:lineRule="auto"/>
        <w:tabs>
          <w:tab w:leader="none" w:pos="2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not otherwise provided for under clause (a) or (b), in the manner that the Trustee deems fair and appropriate, including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such securities it selected for redemption shall be in amounts of $1,000 or whole multiples of $1,000 or, with respect to Securities of any Series issuable in other denominations pursuant to </w:t>
      </w:r>
      <w:r>
        <w:rPr>
          <w:rFonts w:ascii="Times New Roman" w:cs="Times New Roman" w:eastAsia="Times New Roman" w:hAnsi="Times New Roman"/>
          <w:sz w:val="18"/>
          <w:szCs w:val="18"/>
          <w:u w:val="single" w:color="auto"/>
          <w:color w:val="auto"/>
        </w:rPr>
        <w:t>Section 2.2.10</w:t>
      </w:r>
      <w:r>
        <w:rPr>
          <w:rFonts w:ascii="Times New Roman" w:cs="Times New Roman" w:eastAsia="Times New Roman" w:hAnsi="Times New Roman"/>
          <w:sz w:val="18"/>
          <w:szCs w:val="18"/>
          <w:color w:val="auto"/>
        </w:rPr>
        <w:t>,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u w:val="single" w:color="auto"/>
          <w:color w:val="auto"/>
        </w:rPr>
        <w:t>  Notice of Redemption</w:t>
      </w:r>
      <w:r>
        <w:rPr>
          <w:rFonts w:ascii="Times New Roman" w:cs="Times New Roman" w:eastAsia="Times New Roman" w:hAnsi="Times New Roman"/>
          <w:sz w:val="18"/>
          <w:szCs w:val="18"/>
          <w:color w:val="auto"/>
        </w:rPr>
        <w:t>. 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The notice shall identify the Securities of the Series to be redeemed and shall state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redemption date;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redemption price (or manner of calculation if not then known);</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name and address of the Paying Agent;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that Securities of the Series called for redemption must be surrendered to the Paying Agent to collect the redemption price;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that interest on Securities of the Series called for redemption ceases to accrue on and after the redemption date unless the Company defaults in the deposit of the redemption price;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 CUSIP number, if any; and</w:t>
      </w:r>
    </w:p>
    <w:p>
      <w:pPr>
        <w:spacing w:after="0" w:line="225"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8"/>
          <w:szCs w:val="18"/>
          <w:color w:val="auto"/>
        </w:rPr>
        <w:t>(h)            any other information as may be required by the terms of the particular Series or the Securities of a Series being redeemed.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Company’s request, the Trustee shall give the notice of redemption in the Company’s name and at its expense, provided, however, that the Company has delivered to the Trustee, at least 5 days (unless a shorter time shall be acceptable to the Trustee) prior to the notice date, an Officer’s Certificate requesting that the Trustee give such notice and setting forth the information to be stated in such notice.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3.4         </w:t>
      </w:r>
      <w:r>
        <w:rPr>
          <w:rFonts w:ascii="Times New Roman" w:cs="Times New Roman" w:eastAsia="Times New Roman" w:hAnsi="Times New Roman"/>
          <w:sz w:val="18"/>
          <w:szCs w:val="18"/>
          <w:u w:val="single" w:color="auto"/>
          <w:color w:val="auto"/>
        </w:rPr>
        <w:t>  Effect of Notice of Redemption</w:t>
      </w:r>
      <w:r>
        <w:rPr>
          <w:rFonts w:ascii="Times New Roman" w:cs="Times New Roman" w:eastAsia="Times New Roman" w:hAnsi="Times New Roman"/>
          <w:sz w:val="18"/>
          <w:szCs w:val="18"/>
          <w:color w:val="auto"/>
        </w:rPr>
        <w:t xml:space="preserve">. Once notice of redemption is sent as provided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3.5         </w:t>
      </w:r>
      <w:r>
        <w:rPr>
          <w:rFonts w:ascii="Times New Roman" w:cs="Times New Roman" w:eastAsia="Times New Roman" w:hAnsi="Times New Roman"/>
          <w:sz w:val="18"/>
          <w:szCs w:val="18"/>
          <w:u w:val="single" w:color="auto"/>
          <w:color w:val="auto"/>
        </w:rPr>
        <w:t>  Deposit of Redemption Price</w:t>
      </w:r>
      <w:r>
        <w:rPr>
          <w:rFonts w:ascii="Times New Roman" w:cs="Times New Roman" w:eastAsia="Times New Roman" w:hAnsi="Times New Roman"/>
          <w:sz w:val="18"/>
          <w:szCs w:val="18"/>
          <w:color w:val="auto"/>
        </w:rPr>
        <w:t>. On or before 11:00 a.m., New York City time, on the redemption date, the Company shall irrevocably deposit with the Paying Agent money sufficient (as determined by the Company) to pay the redemption price of and accrued interest, if any, on all Securities to be redeemed on that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3.6         </w:t>
      </w:r>
      <w:r>
        <w:rPr>
          <w:rFonts w:ascii="Times New Roman" w:cs="Times New Roman" w:eastAsia="Times New Roman" w:hAnsi="Times New Roman"/>
          <w:sz w:val="18"/>
          <w:szCs w:val="18"/>
          <w:u w:val="single" w:color="auto"/>
          <w:color w:val="auto"/>
        </w:rPr>
        <w:t>  Securities Redeemed in Part</w:t>
      </w:r>
      <w:r>
        <w:rPr>
          <w:rFonts w:ascii="Times New Roman" w:cs="Times New Roman" w:eastAsia="Times New Roman" w:hAnsi="Times New Roman"/>
          <w:sz w:val="18"/>
          <w:szCs w:val="18"/>
          <w:color w:val="auto"/>
        </w:rPr>
        <w:t>. Upon surrender of a Security that is redeemed in part, the Trustee shall authenticate for the Holder a new Security of the same Series and the same maturity equal in principal amount to the unredeemed portion of the Security surrendered.</w:t>
      </w:r>
    </w:p>
    <w:p>
      <w:pPr>
        <w:spacing w:after="0" w:line="1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Payment of Principal and Interest</w:t>
      </w:r>
      <w:r>
        <w:rPr>
          <w:rFonts w:ascii="Times New Roman" w:cs="Times New Roman" w:eastAsia="Times New Roman" w:hAnsi="Times New Roman"/>
          <w:sz w:val="18"/>
          <w:szCs w:val="18"/>
          <w:color w:val="auto"/>
        </w:rPr>
        <w:t>. 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SEC Reports</w:t>
      </w:r>
      <w:r>
        <w:rPr>
          <w:rFonts w:ascii="Times New Roman" w:cs="Times New Roman" w:eastAsia="Times New Roman" w:hAnsi="Times New Roman"/>
          <w:sz w:val="18"/>
          <w:szCs w:val="18"/>
          <w:color w:val="auto"/>
        </w:rPr>
        <w:t xml:space="preserve">. To the extent any Securities of a Series are outstanding, the Company shall deliver to the Trustee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within 15 days after it files such information, documents and reports with the SEC. The Company also shall comply with the other provisions of TIA § 314(a). Reports, information and documents filed with the SEC via the EDGAR system (or any successor system thereto) will be deemed to be delivered to the Trustee as of the time of such filing via EDGAR for purposes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it being understood that the Trustee shall have no responsibility whatsoever to determine if such filings have been made, and that the Trustee shall not be deemed to have knowledge of the information contained therein.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Delivery of reports, information and documents to the Trustee under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Compliance Certificate</w:t>
      </w:r>
      <w:r>
        <w:rPr>
          <w:rFonts w:ascii="Times New Roman" w:cs="Times New Roman" w:eastAsia="Times New Roman" w:hAnsi="Times New Roman"/>
          <w:sz w:val="18"/>
          <w:szCs w:val="18"/>
          <w:color w:val="auto"/>
        </w:rPr>
        <w:t>. 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Stay, Extension and Usury Laws</w:t>
      </w:r>
      <w:r>
        <w:rPr>
          <w:rFonts w:ascii="Times New Roman" w:cs="Times New Roman" w:eastAsia="Times New Roman" w:hAnsi="Times New Roman"/>
          <w:sz w:val="18"/>
          <w:szCs w:val="18"/>
          <w:color w:val="auto"/>
        </w:rPr>
        <w:t>. 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When Company May Merge, Etc</w:t>
      </w:r>
      <w:r>
        <w:rPr>
          <w:rFonts w:ascii="Times New Roman" w:cs="Times New Roman" w:eastAsia="Times New Roman" w:hAnsi="Times New Roman"/>
          <w:sz w:val="18"/>
          <w:szCs w:val="18"/>
          <w:color w:val="auto"/>
        </w:rPr>
        <w:t>. The Company shall not consolidate with or merge with or into, or convey, transfer or lease all or substantially all of its properties and assets to, any person (a “</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 unless: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the Company is the surviving corporation or the successor person (if other than the Company) is a corporation organized and validly existing under the laws of any U.S. domestic jurisdiction and expressly assumes, by a supplemental indenture, executed and delivered to the Trustee, the Company’s obligations on the Securities and under this Indenture;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immediately after giving effect to the transaction, no Default or Event of Default, shall have occurred and be continuing.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 the Company is not the surviving corporation, 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Successor Corporation Substituted</w:t>
      </w:r>
      <w:r>
        <w:rPr>
          <w:rFonts w:ascii="Times New Roman" w:cs="Times New Roman" w:eastAsia="Times New Roman" w:hAnsi="Times New Roman"/>
          <w:sz w:val="18"/>
          <w:szCs w:val="18"/>
          <w:color w:val="auto"/>
        </w:rPr>
        <w:t xml:space="preserve">. Upon any consolidation or merger, or any sale, lease, conveyance or other disposition of all or substantially all of the assets of the Company in accordance with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predecessor Company in the case of a sale, conveyance or other disposition (other than a lease) shall be released from all obligations and covenants under this Indenture and the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  Events of 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7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30th day of such period);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ind w:left="1300"/>
        <w:spacing w:after="0"/>
        <w:rPr>
          <w:sz w:val="20"/>
          <w:szCs w:val="20"/>
          <w:color w:val="auto"/>
        </w:rPr>
      </w:pPr>
      <w:r>
        <w:rPr>
          <w:rFonts w:ascii="Times New Roman" w:cs="Times New Roman" w:eastAsia="Times New Roman" w:hAnsi="Times New Roman"/>
          <w:sz w:val="18"/>
          <w:szCs w:val="18"/>
          <w:color w:val="auto"/>
        </w:rPr>
        <w:t>(b)            default in the payment of principal of any Security of that Series at its Maturity; or</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(c)            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8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(iv) makes a general assignment for the benefit of its creditors, or (v) generally is unable to pay its debts as the same become due; or</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(e)            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and the order or decree remains unstayed and in effect for 60 days; or</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            any other Event of Default provided with respect to Securities of that Series, which is specified in a Board Resolution, a supplemental indenture hereto or an Officer’s Certificate, in accordance with </w:t>
      </w:r>
      <w:r>
        <w:rPr>
          <w:rFonts w:ascii="Times New Roman" w:cs="Times New Roman" w:eastAsia="Times New Roman" w:hAnsi="Times New Roman"/>
          <w:sz w:val="18"/>
          <w:szCs w:val="18"/>
          <w:u w:val="single" w:color="auto"/>
          <w:color w:val="auto"/>
        </w:rPr>
        <w:t>Section 2.2.18</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title 11, U.S. Code or any similar U.S. Federal or State law for the relief of debtors. The term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  Acceleration of Maturity; Rescission and Annulment</w:t>
      </w:r>
      <w:r>
        <w:rPr>
          <w:rFonts w:ascii="Times New Roman" w:cs="Times New Roman" w:eastAsia="Times New Roman" w:hAnsi="Times New Roman"/>
          <w:sz w:val="18"/>
          <w:szCs w:val="18"/>
          <w:color w:val="auto"/>
        </w:rPr>
        <w:t xml:space="preserve">. If an Event of Default with respect to Securities of any Series at the time outstanding occurs and is continuing (other than an Event of Default referred to in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shall occur, the principal amount (or specified amount) of and accrued and unpaid interest, if any, on all outstanding Securities shall </w:t>
      </w:r>
      <w:r>
        <w:rPr>
          <w:rFonts w:ascii="Times New Roman" w:cs="Times New Roman" w:eastAsia="Times New Roman" w:hAnsi="Times New Roman"/>
          <w:sz w:val="18"/>
          <w:szCs w:val="18"/>
          <w:i w:val="1"/>
          <w:iCs w:val="1"/>
          <w:color w:val="auto"/>
        </w:rPr>
        <w:t>ipso facto</w:t>
      </w:r>
      <w:r>
        <w:rPr>
          <w:rFonts w:ascii="Times New Roman" w:cs="Times New Roman" w:eastAsia="Times New Roman" w:hAnsi="Times New Roman"/>
          <w:sz w:val="18"/>
          <w:szCs w:val="18"/>
          <w:color w:val="auto"/>
        </w:rPr>
        <w:t xml:space="preserve"> become and be immediately due and payable without any declaration or other act on the part of the Trustee or any Holder.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u w:val="single" w:color="auto"/>
          <w:color w:val="auto"/>
        </w:rPr>
        <w:t>  Collection of Indebtedness and Suits for Enforcement by Trustee</w:t>
      </w:r>
      <w:r>
        <w:rPr>
          <w:rFonts w:ascii="Times New Roman" w:cs="Times New Roman" w:eastAsia="Times New Roman" w:hAnsi="Times New Roman"/>
          <w:sz w:val="18"/>
          <w:szCs w:val="18"/>
          <w:color w:val="auto"/>
        </w:rPr>
        <w:t>. The Company covenants that if</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(a)            default is made in the payment of any interest on any Security when such interest becomes due and payable and such default continues for a period of 30 days, 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default is made in the payment of principal of any Security at the Maturity thereof,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default is made in the deposit of any sinking fund payment, if any, when and as due by the terms of a Security,</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then</w:t>
      </w:r>
      <w:r>
        <w:rPr>
          <w:rFonts w:ascii="Times New Roman" w:cs="Times New Roman" w:eastAsia="Times New Roman" w:hAnsi="Times New Roman"/>
          <w:sz w:val="18"/>
          <w:szCs w:val="18"/>
          <w:color w:val="auto"/>
        </w:rPr>
        <w:t>, the Company will, upon demand of the Trustee, pay to it, for the benefit of the Holders of such Securities, the whole amount then due and payable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6.4         </w:t>
      </w:r>
      <w:r>
        <w:rPr>
          <w:rFonts w:ascii="Times New Roman" w:cs="Times New Roman" w:eastAsia="Times New Roman" w:hAnsi="Times New Roman"/>
          <w:sz w:val="18"/>
          <w:szCs w:val="18"/>
          <w:u w:val="single" w:color="auto"/>
          <w:color w:val="auto"/>
        </w:rPr>
        <w:t>  Trustee May File Proofs of Claim</w:t>
      </w:r>
      <w:r>
        <w:rPr>
          <w:rFonts w:ascii="Times New Roman" w:cs="Times New Roman" w:eastAsia="Times New Roman" w:hAnsi="Times New Roman"/>
          <w:sz w:val="18"/>
          <w:szCs w:val="18"/>
          <w:color w:val="auto"/>
        </w:rPr>
        <w:t xml:space="preserve">.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(a) 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 (b)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6.5         </w:t>
      </w:r>
      <w:r>
        <w:rPr>
          <w:rFonts w:ascii="Times New Roman" w:cs="Times New Roman" w:eastAsia="Times New Roman" w:hAnsi="Times New Roman"/>
          <w:sz w:val="18"/>
          <w:szCs w:val="18"/>
          <w:u w:val="single" w:color="auto"/>
          <w:color w:val="auto"/>
        </w:rPr>
        <w:t>  Trustee May Enforce Claims Without Possession of Securities</w:t>
      </w:r>
      <w:r>
        <w:rPr>
          <w:rFonts w:ascii="Times New Roman" w:cs="Times New Roman" w:eastAsia="Times New Roman" w:hAnsi="Times New Roman"/>
          <w:sz w:val="18"/>
          <w:szCs w:val="18"/>
          <w:color w:val="auto"/>
        </w:rPr>
        <w:t>.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6.6         </w:t>
      </w:r>
      <w:r>
        <w:rPr>
          <w:rFonts w:ascii="Times New Roman" w:cs="Times New Roman" w:eastAsia="Times New Roman" w:hAnsi="Times New Roman"/>
          <w:sz w:val="18"/>
          <w:szCs w:val="18"/>
          <w:u w:val="single" w:color="auto"/>
          <w:color w:val="auto"/>
        </w:rPr>
        <w:t>  Application of Money Collected</w:t>
      </w:r>
      <w:r>
        <w:rPr>
          <w:rFonts w:ascii="Times New Roman" w:cs="Times New Roman" w:eastAsia="Times New Roman" w:hAnsi="Times New Roman"/>
          <w:sz w:val="18"/>
          <w:szCs w:val="18"/>
          <w:color w:val="auto"/>
        </w:rPr>
        <w:t>. 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all amounts due the Trustee under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6.7         </w:t>
      </w:r>
      <w:r>
        <w:rPr>
          <w:rFonts w:ascii="Times New Roman" w:cs="Times New Roman" w:eastAsia="Times New Roman" w:hAnsi="Times New Roman"/>
          <w:sz w:val="18"/>
          <w:szCs w:val="18"/>
          <w:u w:val="single" w:color="auto"/>
          <w:color w:val="auto"/>
        </w:rPr>
        <w:t>  Limitation on Suits</w:t>
      </w:r>
      <w:r>
        <w:rPr>
          <w:rFonts w:ascii="Times New Roman" w:cs="Times New Roman" w:eastAsia="Times New Roman" w:hAnsi="Times New Roman"/>
          <w:sz w:val="18"/>
          <w:szCs w:val="18"/>
          <w:color w:val="auto"/>
        </w:rPr>
        <w:t>. No Holder of any Security of any Series shall have any right to institute any proceeding, judicial or otherwise, with respect to this Indenture, or for the appointment of a receiver or trustee, or for any other remedy hereunder, unless</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(a)            such Holder has previously given written notice to the Trustee of a continuing Event of Default with respect to the Securities of that Series;</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(b)            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(c)            such Holder or Holders have offered to the Trustee indemnity or security satisfactory to the Trustee against the costs, expenses and liabilities which might be incurred by the Trustee in compliance with such request;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Trustee for 60 days after its receipt of such notice, request and offer of indemnity has failed to institute any such proceeding;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(e)            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6.8         </w:t>
      </w:r>
      <w:r>
        <w:rPr>
          <w:rFonts w:ascii="Times New Roman" w:cs="Times New Roman" w:eastAsia="Times New Roman" w:hAnsi="Times New Roman"/>
          <w:sz w:val="18"/>
          <w:szCs w:val="18"/>
          <w:u w:val="single" w:color="auto"/>
          <w:color w:val="auto"/>
        </w:rPr>
        <w:t>  Unconditional Right of Holders to Receive Principal and Interest</w:t>
      </w:r>
      <w:r>
        <w:rPr>
          <w:rFonts w:ascii="Times New Roman" w:cs="Times New Roman" w:eastAsia="Times New Roman" w:hAnsi="Times New Roman"/>
          <w:sz w:val="18"/>
          <w:szCs w:val="18"/>
          <w:color w:val="auto"/>
        </w:rPr>
        <w:t>. 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6.9         </w:t>
      </w:r>
      <w:r>
        <w:rPr>
          <w:rFonts w:ascii="Times New Roman" w:cs="Times New Roman" w:eastAsia="Times New Roman" w:hAnsi="Times New Roman"/>
          <w:sz w:val="18"/>
          <w:szCs w:val="18"/>
          <w:u w:val="single" w:color="auto"/>
          <w:color w:val="auto"/>
        </w:rPr>
        <w:t>  Restoration of Rights and Remedies</w:t>
      </w:r>
      <w:r>
        <w:rPr>
          <w:rFonts w:ascii="Times New Roman" w:cs="Times New Roman" w:eastAsia="Times New Roman" w:hAnsi="Times New Roman"/>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6.10       </w:t>
      </w:r>
      <w:r>
        <w:rPr>
          <w:rFonts w:ascii="Times New Roman" w:cs="Times New Roman" w:eastAsia="Times New Roman" w:hAnsi="Times New Roman"/>
          <w:sz w:val="18"/>
          <w:szCs w:val="18"/>
          <w:u w:val="single" w:color="auto"/>
          <w:color w:val="auto"/>
        </w:rPr>
        <w:t>  Rights and Remedies Cumulative</w:t>
      </w:r>
      <w:r>
        <w:rPr>
          <w:rFonts w:ascii="Times New Roman" w:cs="Times New Roman" w:eastAsia="Times New Roman" w:hAnsi="Times New Roman"/>
          <w:sz w:val="18"/>
          <w:szCs w:val="18"/>
          <w:color w:val="auto"/>
        </w:rPr>
        <w:t xml:space="preserve">. Except as otherwise provided with respect to the replacement or payment of mutilated, destroyed, lost or stolen Securities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6.11       </w:t>
      </w:r>
      <w:r>
        <w:rPr>
          <w:rFonts w:ascii="Times New Roman" w:cs="Times New Roman" w:eastAsia="Times New Roman" w:hAnsi="Times New Roman"/>
          <w:sz w:val="18"/>
          <w:szCs w:val="18"/>
          <w:u w:val="single" w:color="auto"/>
          <w:color w:val="auto"/>
        </w:rPr>
        <w:t>  Delay or Omission Not Waiver</w:t>
      </w:r>
      <w:r>
        <w:rPr>
          <w:rFonts w:ascii="Times New Roman" w:cs="Times New Roman" w:eastAsia="Times New Roman" w:hAnsi="Times New Roman"/>
          <w:sz w:val="18"/>
          <w:szCs w:val="18"/>
          <w:color w:val="auto"/>
        </w:rPr>
        <w:t>.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6.12       </w:t>
      </w:r>
      <w:r>
        <w:rPr>
          <w:rFonts w:ascii="Times New Roman" w:cs="Times New Roman" w:eastAsia="Times New Roman" w:hAnsi="Times New Roman"/>
          <w:sz w:val="18"/>
          <w:szCs w:val="18"/>
          <w:u w:val="single" w:color="auto"/>
          <w:color w:val="auto"/>
        </w:rPr>
        <w:t>  Control by Holders</w:t>
      </w:r>
      <w:r>
        <w:rPr>
          <w:rFonts w:ascii="Times New Roman" w:cs="Times New Roman" w:eastAsia="Times New Roman" w:hAnsi="Times New Roman"/>
          <w:sz w:val="18"/>
          <w:szCs w:val="18"/>
          <w:color w:val="auto"/>
        </w:rPr>
        <w:t xml:space="preserve">.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 such direction shall not be in conflict with any rule of law or with this Indenture, (b) the Trustee may take any other action deemed proper by the Trustee which is not inconsistent with such direction, (c) subject to the provisions of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the Trustee shall have the right to decline to follow any such direction if the Trustee in good faith shall, by a Responsible Officer of the Trustee, determine that the proceeding so directed would involve the Trustee in personal liability, and prior to taking any action as directed under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the Trustee shall be entitled to indemnity satisfactory to it against the losses, costs, expenses and liabilities which might be incurred by it in compliance with such request or direction.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6.13       </w:t>
      </w:r>
      <w:r>
        <w:rPr>
          <w:rFonts w:ascii="Times New Roman" w:cs="Times New Roman" w:eastAsia="Times New Roman" w:hAnsi="Times New Roman"/>
          <w:sz w:val="18"/>
          <w:szCs w:val="18"/>
          <w:u w:val="single" w:color="auto"/>
          <w:color w:val="auto"/>
        </w:rPr>
        <w:t>  Waiver of Past Defaults</w:t>
      </w:r>
      <w:r>
        <w:rPr>
          <w:rFonts w:ascii="Times New Roman" w:cs="Times New Roman" w:eastAsia="Times New Roman" w:hAnsi="Times New Roman"/>
          <w:sz w:val="18"/>
          <w:szCs w:val="18"/>
          <w:color w:val="auto"/>
        </w:rPr>
        <w:t>. 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6.14       </w:t>
      </w:r>
      <w:r>
        <w:rPr>
          <w:rFonts w:ascii="Times New Roman" w:cs="Times New Roman" w:eastAsia="Times New Roman" w:hAnsi="Times New Roman"/>
          <w:sz w:val="18"/>
          <w:szCs w:val="18"/>
          <w:u w:val="single" w:color="auto"/>
          <w:color w:val="auto"/>
        </w:rPr>
        <w:t>  Undertaking for Costs</w:t>
      </w:r>
      <w:r>
        <w:rPr>
          <w:rFonts w:ascii="Times New Roman" w:cs="Times New Roman" w:eastAsia="Times New Roman" w:hAnsi="Times New Roman"/>
          <w:sz w:val="18"/>
          <w:szCs w:val="18"/>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Duties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Except during the continuance of an Event of Default:</w:t>
      </w:r>
    </w:p>
    <w:p>
      <w:pPr>
        <w:spacing w:after="0" w:line="225"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The Trustee need perform only those duties that are specifically set forth in this Indenture and no others, and no implied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covenants or obligations shall be read into this Indenture against the Trustee.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In the absence of bad faith on its part, the Trustee may conclusively rely, as to the truth of the statements and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(but need not confirm or investigate the accuracy of mathematical calculations or other facts stated therein).</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           The Trustee may not be relieved from liability for its own negligent action, its own negligent failure to act or its own willful misconduct, except that: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This paragraph does not limit the effect of paragraph (b) of this Section.</w:t>
      </w:r>
    </w:p>
    <w:p>
      <w:pPr>
        <w:spacing w:after="0" w:line="225"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Trustee shall not be liable for any error of judgment made in good faith by a Responsible Officer, unless it is proved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a court of competent jurisdiction that the Trustee was negligent in ascertaining the pertinent facts.</w:t>
      </w:r>
    </w:p>
    <w:p>
      <w:pPr>
        <w:spacing w:after="0" w:line="162"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The Trustee shall not be liable with respect to any action taken, suffered or omitted to be taken by it with respect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w:t>
      </w:r>
      <w:r>
        <w:rPr>
          <w:rFonts w:ascii="Times New Roman" w:cs="Times New Roman" w:eastAsia="Times New Roman" w:hAnsi="Times New Roman"/>
          <w:sz w:val="18"/>
          <w:szCs w:val="18"/>
          <w:u w:val="single" w:color="auto"/>
          <w:color w:val="000000"/>
        </w:rPr>
        <w:t>Section 6.12</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           Every provision of this Indenture that in any way relates to the Trustee is subject to paragraph (a), (b) and (c) of this Section.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           The Trustee may refuse to perform any duty or exercise any right or power unless it receives indemnity satisfactory to it against the losses, costs, expenses and liabilities which might be incurred by it in performing such duty or exercising such right or power.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The Trustee shall not be liable for interest or investment on any money received by it except as the Trustee may agree in writing with the Company. Money held in trust by the Trustee need not be segregated from other funds except to the extent required by law.</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           No provision of this Indenture shall require the Trustee to expend or risk its own funds or otherwise incur any financial liability in the performance of any of its duties, or in the exercise of any of its rights or powers.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(h)           The Paying Agent, the Registrar and any authenticating agent shall be entitled to the protections and immunities as are set forth in paragraphs (e), (f) and (g) of this Section and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each with respect to the Trustee.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2" w:name="page63"/>
    <w:bookmarkEnd w:id="6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The Trustee may act through its attorneys and agents and shall not be responsible for the misconduct or negligence of any attorney or agent appointed with due care. No Depositary shall be deemed an agent of the Trustee and the Trustee shall not be responsible for any act or omission by any Depositary.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           The Trustee shall not be liable for any action it takes or omits to take in good faith which it believes to be authorized or within its rights or powers, provided that the Trustee’s conduct does not constitute willful misconduct or negligence.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The Trustee shall be under no obligation to exercise any of the rights or powers vested in it by this Indenture at the request or direction of any of the Holders of Securities unless such Holders shall have offered (and, if requested, provided) to the Trustee security or indemnity satisfactory to it against the losses, costs, expenses and liabilities which might be incurred by it in compliance with such request or direction.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           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Securities generally or the Securities of a particular Series and this Indenture.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In no event shall the Trustee be responsible or liable to any person for special, punitive, indirect, consequential or incidental loss or damage of any kind whatsoever (including but not limited to lost profits), even if the Trustee has been advised of the likelihood of such loss or damage and regardless of the form of action.</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(j)            The permissive right of the Trustee to take the actions permitted by this Indenture shall not be construed as an obligation or duty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so.</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(k)           No bond or surety shall be required with respect to performance of Trustee’s duties and powers.</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3" w:name="page64"/>
    <w:bookmarkEnd w:id="63"/>
    <w:p>
      <w:pPr>
        <w:ind w:left="1300"/>
        <w:spacing w:after="0"/>
        <w:rPr>
          <w:sz w:val="20"/>
          <w:szCs w:val="20"/>
          <w:color w:val="auto"/>
        </w:rPr>
      </w:pPr>
      <w:r>
        <w:rPr>
          <w:rFonts w:ascii="Times New Roman" w:cs="Times New Roman" w:eastAsia="Times New Roman" w:hAnsi="Times New Roman"/>
          <w:sz w:val="18"/>
          <w:szCs w:val="18"/>
          <w:color w:val="auto"/>
        </w:rPr>
        <w:t>(l)            Under no circumstances shall the Trustee be liable in its individual capacity for the obligations evidenced by the Securities.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(m)          Any request or direction of the Company mentioned herein shall be sufficiently evidenced by a Company Order and any resolution of the Board of Directors may be sufficiently evidenced by a Board Resolution.</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(n)           The Trustee may request that the Company deliver a certificate setting forth the names of individuals and/or titles of officers authorized at such time to take specified actions pursuant to this Indenture.</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(o)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Individual Rights of Trustee</w:t>
      </w:r>
      <w:r>
        <w:rPr>
          <w:rFonts w:ascii="Times New Roman" w:cs="Times New Roman" w:eastAsia="Times New Roman" w:hAnsi="Times New Roman"/>
          <w:sz w:val="18"/>
          <w:szCs w:val="18"/>
          <w:color w:val="auto"/>
        </w:rPr>
        <w:t xml:space="preserve">. 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w:t>
      </w:r>
      <w:r>
        <w:rPr>
          <w:rFonts w:ascii="Times New Roman" w:cs="Times New Roman" w:eastAsia="Times New Roman" w:hAnsi="Times New Roman"/>
          <w:sz w:val="18"/>
          <w:szCs w:val="18"/>
          <w:u w:val="single" w:color="auto"/>
          <w:color w:val="auto"/>
        </w:rPr>
        <w:t>Sections 7.10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7.4         </w:t>
      </w:r>
      <w:r>
        <w:rPr>
          <w:rFonts w:ascii="Times New Roman" w:cs="Times New Roman" w:eastAsia="Times New Roman" w:hAnsi="Times New Roman"/>
          <w:sz w:val="18"/>
          <w:szCs w:val="18"/>
          <w:u w:val="single" w:color="auto"/>
          <w:color w:val="auto"/>
        </w:rPr>
        <w:t>  Trustee’s Disclaimer</w:t>
      </w:r>
      <w:r>
        <w:rPr>
          <w:rFonts w:ascii="Times New Roman" w:cs="Times New Roman" w:eastAsia="Times New Roman" w:hAnsi="Times New Roman"/>
          <w:sz w:val="18"/>
          <w:szCs w:val="18"/>
          <w:color w:val="auto"/>
        </w:rPr>
        <w:t>. The Trustee shall not be responsible for and makes no representation as to the validity or adequacy of this Indenture or the Securities; the Trustee shall not be accountable for the Company’s use of the proceeds from the Securities, or any money paid to the Company or upon the Company’s direction under any provision of this Indenture; the Trustee shall not be responsible for the use or application of any money received by any Paying Agent other than the Trustee; and the Trustee shall not be responsible for any statement herein or in the Securities or any other document in connection with the sale of the Securities other than its authentication. The recitals contained herein and in the Securities, except the Trustee’s certificates of authentication, shall be taken as the statements of the Company, and the Trustee or any Authenticating Agent assumes no responsibility for their correctness.</w:t>
      </w:r>
    </w:p>
    <w:p>
      <w:pPr>
        <w:spacing w:after="0" w:line="18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7.5         </w:t>
      </w:r>
      <w:r>
        <w:rPr>
          <w:rFonts w:ascii="Times New Roman" w:cs="Times New Roman" w:eastAsia="Times New Roman" w:hAnsi="Times New Roman"/>
          <w:sz w:val="18"/>
          <w:szCs w:val="18"/>
          <w:u w:val="single" w:color="auto"/>
          <w:color w:val="auto"/>
        </w:rPr>
        <w:t>  Notice of Defaults</w:t>
      </w:r>
      <w:r>
        <w:rPr>
          <w:rFonts w:ascii="Times New Roman" w:cs="Times New Roman" w:eastAsia="Times New Roman" w:hAnsi="Times New Roman"/>
          <w:sz w:val="18"/>
          <w:szCs w:val="18"/>
          <w:color w:val="auto"/>
        </w:rPr>
        <w:t>. If a Default or Event of Default occurs and is continuing with respect to the Securities of any Series and if it is actually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7.6         </w:t>
      </w:r>
      <w:r>
        <w:rPr>
          <w:rFonts w:ascii="Times New Roman" w:cs="Times New Roman" w:eastAsia="Times New Roman" w:hAnsi="Times New Roman"/>
          <w:sz w:val="17"/>
          <w:szCs w:val="17"/>
          <w:u w:val="single" w:color="auto"/>
          <w:color w:val="auto"/>
        </w:rPr>
        <w:t>  Reports by Trustee to Holders</w:t>
      </w:r>
      <w:r>
        <w:rPr>
          <w:rFonts w:ascii="Times New Roman" w:cs="Times New Roman" w:eastAsia="Times New Roman" w:hAnsi="Times New Roman"/>
          <w:sz w:val="17"/>
          <w:szCs w:val="17"/>
          <w:color w:val="auto"/>
        </w:rPr>
        <w:t>. Within 60 days after each _________, commencing _______, 20____, the Trustee shall transmit by mail to</w:t>
      </w:r>
    </w:p>
    <w:p>
      <w:pPr>
        <w:spacing w:after="0" w:line="3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all Securityholders, as their names and addresses appear on the register kept by the Registrar, a brief report dated as of such anniversary date, in accordance with, and to the extent required under, TIA § 313.</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copy of each report at the time of its sending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delisted from any national securities exchange.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7.7         </w:t>
      </w:r>
      <w:r>
        <w:rPr>
          <w:rFonts w:ascii="Times New Roman" w:cs="Times New Roman" w:eastAsia="Times New Roman" w:hAnsi="Times New Roman"/>
          <w:sz w:val="18"/>
          <w:szCs w:val="18"/>
          <w:u w:val="single" w:color="auto"/>
          <w:color w:val="auto"/>
        </w:rPr>
        <w:t>  Compensation and Indemnity</w:t>
      </w:r>
      <w:r>
        <w:rPr>
          <w:rFonts w:ascii="Times New Roman" w:cs="Times New Roman" w:eastAsia="Times New Roman" w:hAnsi="Times New Roman"/>
          <w:sz w:val="18"/>
          <w:szCs w:val="18"/>
          <w:color w:val="auto"/>
        </w:rPr>
        <w:t>. 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shall indemnify each of the Trustee and any predecessor Trustee (including for the cost of defending itself) against any cost, damages, losses, expense or liability, including taxes (other than taxes based upon, measured by or determined by the income of the Trustee) incurred by it except as set forth in the next paragraph in the performance of its duties under this Indenture or in connection with its acceptance of its obligations hereunder,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need not reimburse any expense or indemnify against any loss or liability incurred by the Trustee or by any officer, director, employee, shareholder or agent of the Trustee through willful misconduct or negligence, as finally adjudicated by a court of competent jurisdiction.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When the Trustee incurs expenses or renders services after an Event of Default specified in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occurs, the expenses and the compensation for the services are intended to constitute expenses of administration under any Bankruptcy Law.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shall survive the termination of this Indenture or the resignation or removal of the Trustee.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7.8         </w:t>
      </w:r>
      <w:r>
        <w:rPr>
          <w:rFonts w:ascii="Times New Roman" w:cs="Times New Roman" w:eastAsia="Times New Roman" w:hAnsi="Times New Roman"/>
          <w:sz w:val="18"/>
          <w:szCs w:val="18"/>
          <w:u w:val="single" w:color="auto"/>
          <w:color w:val="auto"/>
        </w:rPr>
        <w:t>  Replacement of Trustee</w:t>
      </w:r>
      <w:r>
        <w:rPr>
          <w:rFonts w:ascii="Times New Roman" w:cs="Times New Roman" w:eastAsia="Times New Roman" w:hAnsi="Times New Roman"/>
          <w:sz w:val="18"/>
          <w:szCs w:val="18"/>
          <w:color w:val="auto"/>
        </w:rPr>
        <w:t>. A resignation or removal of the Trustee and appointment of a successor Trustee shall become effective only upon the successor Trustee’s acceptance of appointment as provided in this Section.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at least 30 days prior to such removal. The Company may remove the Trustee with respect to Securities of one or more Series with at least 30 days written notice if:</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the Trustee fails to comply with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the Trustee is adjudged a bankrupt or an insolvent or an order for relief is entered with respect to the Trustee under any Bankruptcy</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1300"/>
        <w:spacing w:after="0"/>
        <w:rPr>
          <w:sz w:val="20"/>
          <w:szCs w:val="20"/>
          <w:color w:val="auto"/>
        </w:rPr>
      </w:pPr>
      <w:r>
        <w:rPr>
          <w:rFonts w:ascii="Times New Roman" w:cs="Times New Roman" w:eastAsia="Times New Roman" w:hAnsi="Times New Roman"/>
          <w:sz w:val="18"/>
          <w:szCs w:val="18"/>
          <w:color w:val="auto"/>
        </w:rPr>
        <w:t>(c)           a Custodian or public officer takes charge of the Trustee or its property;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Trustee becomes incapable of acting.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then-outstanding Securities may appoint a successor Trustee to replace the successor Trustee appointed by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successor Trustee shall deliver a written acceptance of its appointment to the retiring Trustee and to the Company. Promptly after such acceptance, the retiring Trustee shall transfer all property held by it as Trustee to the successor Trustee subject to the lien provided for in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Securityholder of each such Series. Notwithstanding replacement of the Trustee pursuant to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the Company’s obligations under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7.9         </w:t>
      </w:r>
      <w:r>
        <w:rPr>
          <w:rFonts w:ascii="Times New Roman" w:cs="Times New Roman" w:eastAsia="Times New Roman" w:hAnsi="Times New Roman"/>
          <w:sz w:val="18"/>
          <w:szCs w:val="18"/>
          <w:u w:val="single" w:color="auto"/>
          <w:color w:val="auto"/>
        </w:rPr>
        <w:t>  Successor Trustee by Merger, Etc</w:t>
      </w:r>
      <w:r>
        <w:rPr>
          <w:rFonts w:ascii="Times New Roman" w:cs="Times New Roman" w:eastAsia="Times New Roman" w:hAnsi="Times New Roman"/>
          <w:sz w:val="18"/>
          <w:szCs w:val="18"/>
          <w:color w:val="auto"/>
        </w:rPr>
        <w:t xml:space="preserve">. If the Trustee consolidates with, merges or converts into, or transfers all or substantially all of its corporate trust business to, another corporation, or national banking association, the successor corporation or national banking association without any further act shall be the successor Trustee, subject to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7.10       </w:t>
      </w:r>
      <w:r>
        <w:rPr>
          <w:rFonts w:ascii="Times New Roman" w:cs="Times New Roman" w:eastAsia="Times New Roman" w:hAnsi="Times New Roman"/>
          <w:sz w:val="18"/>
          <w:szCs w:val="18"/>
          <w:u w:val="single" w:color="auto"/>
          <w:color w:val="auto"/>
        </w:rPr>
        <w:t>  Eligibility; Disqualification</w:t>
      </w:r>
      <w:r>
        <w:rPr>
          <w:rFonts w:ascii="Times New Roman" w:cs="Times New Roman" w:eastAsia="Times New Roman" w:hAnsi="Times New Roman"/>
          <w:sz w:val="18"/>
          <w:szCs w:val="18"/>
          <w:color w:val="auto"/>
        </w:rPr>
        <w:t>. This Indenture always shall have a Trustee who satisfies the requirements of TIA § 310(a) (1), (2) and (5). The Trustee always shall have a combined capital and surplus of at least $50,000,000 as set forth in its most recent published annual report of condition. The Trustee shall comply with TIA § 310(b).</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7.11       </w:t>
      </w:r>
      <w:r>
        <w:rPr>
          <w:rFonts w:ascii="Times New Roman" w:cs="Times New Roman" w:eastAsia="Times New Roman" w:hAnsi="Times New Roman"/>
          <w:sz w:val="18"/>
          <w:szCs w:val="18"/>
          <w:u w:val="single" w:color="auto"/>
          <w:color w:val="auto"/>
        </w:rPr>
        <w:t>  Preferential Collection of Claims Against Company</w:t>
      </w:r>
      <w:r>
        <w:rPr>
          <w:rFonts w:ascii="Times New Roman" w:cs="Times New Roman" w:eastAsia="Times New Roman" w:hAnsi="Times New Roman"/>
          <w:sz w:val="18"/>
          <w:szCs w:val="18"/>
          <w:color w:val="auto"/>
        </w:rPr>
        <w:t>. The Trustee is subject to TIA § 311(a), excluding any creditor relationship listed in TIA § 311(b). A Trustee who has resigned or been removed shall be subject to TIA § 311(a) to the extent indicated.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u w:val="single" w:color="auto"/>
          <w:color w:val="auto"/>
        </w:rPr>
        <w:t>  Satisfaction and Discharge of Indenture</w:t>
      </w:r>
      <w:r>
        <w:rPr>
          <w:rFonts w:ascii="Times New Roman" w:cs="Times New Roman" w:eastAsia="Times New Roman" w:hAnsi="Times New Roman"/>
          <w:sz w:val="18"/>
          <w:szCs w:val="18"/>
          <w:color w:val="auto"/>
        </w:rPr>
        <w:t>. 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either</w:t>
      </w:r>
    </w:p>
    <w:p>
      <w:pPr>
        <w:spacing w:after="0" w:line="225"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all Securities of such Series theretofore authenticated and delivered (other than Securities that have been destroyed, lost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stolen and that have been replaced or paid) have been delivered to the Trustee for cancellation; or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all such Securities of such Series not theretofore delivered to the Trustee for cancellation</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have become due and payable by reason of sending a notice of redemption or otherwise, or</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will become due and payable at their Stated Maturity within one year, or</w:t>
      </w:r>
    </w:p>
    <w:p>
      <w:pPr>
        <w:spacing w:after="0" w:line="225" w:lineRule="exact"/>
        <w:rPr>
          <w:sz w:val="20"/>
          <w:szCs w:val="20"/>
          <w:color w:val="auto"/>
        </w:rPr>
      </w:pPr>
    </w:p>
    <w:p>
      <w:pPr>
        <w:jc w:val="both"/>
        <w:ind w:left="1960" w:firstLine="648"/>
        <w:spacing w:after="0" w:line="266"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have been called for redemption or are to be called for redemption within one year under arrangements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satisfactory to the Trustee for the giving of notice of redemption by the Trustee in the name, and at the expense, of the Company, or</w:t>
      </w:r>
    </w:p>
    <w:p>
      <w:pPr>
        <w:spacing w:after="0" w:line="17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color w:val="000000"/>
        </w:rPr>
        <w:t>are deemed paid and discharged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8.3</w:t>
      </w:r>
      <w:r>
        <w:rPr>
          <w:rFonts w:ascii="Times New Roman" w:cs="Times New Roman" w:eastAsia="Times New Roman" w:hAnsi="Times New Roman"/>
          <w:sz w:val="18"/>
          <w:szCs w:val="18"/>
          <w:color w:val="000000"/>
        </w:rPr>
        <w:t>, as applicable;</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and the Company, in the case of (1), (2) or (3) above, shall have irrevocably deposited or caused to be deposited with the Trustee as trust funds in trust an amount of money or U.S. Government Obligations, which amount shall be sufficient (as determined by the Company)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Company has paid or caused to be paid all other sums payable hereunder by the Company; and</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(c)           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satisfaction and discharge of this Indenture, the obligations of the Company to the Trustee under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and, if money shall have been deposited with the Trustee pursuant to clause (a) of this Section, the provisions of </w:t>
      </w:r>
      <w:r>
        <w:rPr>
          <w:rFonts w:ascii="Times New Roman" w:cs="Times New Roman" w:eastAsia="Times New Roman" w:hAnsi="Times New Roman"/>
          <w:sz w:val="18"/>
          <w:szCs w:val="18"/>
          <w:u w:val="single" w:color="auto"/>
          <w:color w:val="auto"/>
        </w:rPr>
        <w:t>Sections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8.5</w:t>
      </w:r>
      <w:r>
        <w:rPr>
          <w:rFonts w:ascii="Times New Roman" w:cs="Times New Roman" w:eastAsia="Times New Roman" w:hAnsi="Times New Roman"/>
          <w:sz w:val="18"/>
          <w:szCs w:val="18"/>
          <w:color w:val="auto"/>
        </w:rPr>
        <w:t xml:space="preserve"> shall survive.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u w:val="single" w:color="auto"/>
          <w:color w:val="auto"/>
        </w:rPr>
        <w:t>  Application of Trust Funds;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Subject to the provisions of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all money and U.S. Government Obligations or Foreign Government Obligations deposited with the Trustee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8.4</w:t>
      </w:r>
      <w:r>
        <w:rPr>
          <w:rFonts w:ascii="Times New Roman" w:cs="Times New Roman" w:eastAsia="Times New Roman" w:hAnsi="Times New Roman"/>
          <w:sz w:val="18"/>
          <w:szCs w:val="18"/>
          <w:color w:val="auto"/>
        </w:rPr>
        <w:t xml:space="preserve"> and all money received by the Trustee in respect of U.S. Government Obligations or Foreign Government Obligations deposited with the Trustee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8.4</w:t>
      </w:r>
      <w:r>
        <w:rPr>
          <w:rFonts w:ascii="Times New Roman" w:cs="Times New Roman" w:eastAsia="Times New Roman" w:hAnsi="Times New Roman"/>
          <w:sz w:val="18"/>
          <w:szCs w:val="18"/>
          <w:color w:val="auto"/>
        </w:rPr>
        <w:t xml:space="preserve">,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w:t>
      </w:r>
      <w:r>
        <w:rPr>
          <w:rFonts w:ascii="Times New Roman" w:cs="Times New Roman" w:eastAsia="Times New Roman" w:hAnsi="Times New Roman"/>
          <w:sz w:val="18"/>
          <w:szCs w:val="18"/>
          <w:u w:val="single" w:color="auto"/>
          <w:color w:val="auto"/>
        </w:rPr>
        <w:t>Sections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The Company shall pay and shall indemnify the Trustee against any tax, fee or other charge imposed on or assessed against U.S. Government Obligations or Foreign Government Obligations deposited pursuant to </w:t>
      </w:r>
      <w:r>
        <w:rPr>
          <w:rFonts w:ascii="Times New Roman" w:cs="Times New Roman" w:eastAsia="Times New Roman" w:hAnsi="Times New Roman"/>
          <w:sz w:val="18"/>
          <w:szCs w:val="18"/>
          <w:u w:val="single" w:color="auto"/>
          <w:color w:val="auto"/>
        </w:rPr>
        <w:t>Sections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8.4</w:t>
      </w:r>
      <w:r>
        <w:rPr>
          <w:rFonts w:ascii="Times New Roman" w:cs="Times New Roman" w:eastAsia="Times New Roman" w:hAnsi="Times New Roman"/>
          <w:sz w:val="18"/>
          <w:szCs w:val="18"/>
          <w:color w:val="auto"/>
        </w:rPr>
        <w:t xml:space="preserve"> or the interest and principal received in respect of such obligations other than any payable by or on behalf of Holders.</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(c)           The Trustee shall deliver or pay to the Company from time to time upon Company Order any U.S. Government Obligations or Foreign Government Obligations or money held by it as provided in </w:t>
      </w:r>
      <w:r>
        <w:rPr>
          <w:rFonts w:ascii="Times New Roman" w:cs="Times New Roman" w:eastAsia="Times New Roman" w:hAnsi="Times New Roman"/>
          <w:sz w:val="18"/>
          <w:szCs w:val="18"/>
          <w:u w:val="single" w:color="auto"/>
          <w:color w:val="auto"/>
        </w:rPr>
        <w:t>Sections 8.3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8.4</w:t>
      </w:r>
      <w:r>
        <w:rPr>
          <w:rFonts w:ascii="Times New Roman" w:cs="Times New Roman" w:eastAsia="Times New Roman" w:hAnsi="Times New Roman"/>
          <w:sz w:val="18"/>
          <w:szCs w:val="18"/>
          <w:color w:val="auto"/>
        </w:rPr>
        <w:t xml:space="preserve">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Legal Defeasance of Securities of any Series</w:t>
      </w:r>
      <w:r>
        <w:rPr>
          <w:rFonts w:ascii="Times New Roman" w:cs="Times New Roman" w:eastAsia="Times New Roman" w:hAnsi="Times New Roman"/>
          <w:sz w:val="18"/>
          <w:szCs w:val="18"/>
          <w:color w:val="auto"/>
        </w:rPr>
        <w:t xml:space="preserve">. Unless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is otherwise specified,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the provisions of </w:t>
      </w:r>
      <w:r>
        <w:rPr>
          <w:rFonts w:ascii="Times New Roman" w:cs="Times New Roman" w:eastAsia="Times New Roman" w:hAnsi="Times New Roman"/>
          <w:sz w:val="18"/>
          <w:szCs w:val="18"/>
          <w:u w:val="single" w:color="auto"/>
          <w:color w:val="auto"/>
        </w:rPr>
        <w:t>Sections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2.7, 2.8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8.6</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rights, powers, trusts and immunities of the Trustee hereunder and the Company’s obligations in connection therewith;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following conditions shall have been satisfied:</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the Company shall have irrevocably deposited or caused to be deposited (except as provided in </w:t>
      </w:r>
      <w:r>
        <w:rPr>
          <w:rFonts w:ascii="Times New Roman" w:cs="Times New Roman" w:eastAsia="Times New Roman" w:hAnsi="Times New Roman"/>
          <w:sz w:val="18"/>
          <w:szCs w:val="18"/>
          <w:u w:val="single" w:color="auto"/>
          <w:color w:val="auto"/>
        </w:rPr>
        <w:t>Section 8.2(c)</w:t>
      </w:r>
      <w:r>
        <w:rPr>
          <w:rFonts w:ascii="Times New Roman" w:cs="Times New Roman" w:eastAsia="Times New Roman" w:hAnsi="Times New Roman"/>
          <w:sz w:val="18"/>
          <w:szCs w:val="18"/>
          <w:color w:val="auto"/>
        </w:rPr>
        <w:t>)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(e)           such deposit will not result in a breach or violation of, or constitute a default under, this Indenture or any other agreement or instrument to which the Company is a party or by which it is bound;</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(f)            no Default or Event of Default with respect to the Securities of such Series shall have occurred and be continuing on the date of such deposit or during the period ending on the 91st day after such date;</w:t>
      </w:r>
    </w:p>
    <w:p>
      <w:pPr>
        <w:spacing w:after="0" w:line="16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(h)           the Company shall have delivered to the Trustee an Officer’s Certificate stating that the deposit was not made by the Company with the intent of defeating, hindering, delaying or defrauding any other creditors of the Company; and</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the Company shall have delivered to the Trustee an Officer’s Certificate and an Opinion of Counsel, each stating that all conditions precedent provided for relating to the defeasance contemplated by this Section have been complied with.</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8.4         </w:t>
      </w:r>
      <w:r>
        <w:rPr>
          <w:rFonts w:ascii="Times New Roman" w:cs="Times New Roman" w:eastAsia="Times New Roman" w:hAnsi="Times New Roman"/>
          <w:sz w:val="18"/>
          <w:szCs w:val="18"/>
          <w:u w:val="single" w:color="auto"/>
          <w:color w:val="auto"/>
        </w:rPr>
        <w:t>  Covenant Defeasance</w:t>
      </w:r>
      <w:r>
        <w:rPr>
          <w:rFonts w:ascii="Times New Roman" w:cs="Times New Roman" w:eastAsia="Times New Roman" w:hAnsi="Times New Roman"/>
          <w:sz w:val="18"/>
          <w:szCs w:val="18"/>
          <w:color w:val="auto"/>
        </w:rPr>
        <w:t xml:space="preserve">. Unless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is otherwise specified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 be inapplicable to Securities of any Series, the Company may omit to comply with respect to the Securities of any Series with any term, provision or condition set forth under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w:t>
      </w:r>
      <w:r>
        <w:rPr>
          <w:rFonts w:ascii="Times New Roman" w:cs="Times New Roman" w:eastAsia="Times New Roman" w:hAnsi="Times New Roman"/>
          <w:sz w:val="18"/>
          <w:szCs w:val="18"/>
          <w:color w:val="auto"/>
        </w:rPr>
        <w:t xml:space="preserve"> and, unless otherwise specified therein, any additional covenants specified in a supplemental indenture for such Series of Securities or a Board Resolution or an Officer’s Certificate delivered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the failure to comply with any such covenants shall not constitute a Default or Event of Default with respect to such Series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the occurrence of any event specified in a supplemental indenture for such Series of Securities or a Board Resolution or an Officer’s Certificate delivered pursuant to </w:t>
      </w:r>
      <w:r>
        <w:rPr>
          <w:rFonts w:ascii="Times New Roman" w:cs="Times New Roman" w:eastAsia="Times New Roman" w:hAnsi="Times New Roman"/>
          <w:sz w:val="18"/>
          <w:szCs w:val="18"/>
          <w:u w:val="single" w:color="auto"/>
          <w:color w:val="auto"/>
        </w:rPr>
        <w:t>Section 2.2.18</w:t>
      </w:r>
      <w:r>
        <w:rPr>
          <w:rFonts w:ascii="Times New Roman" w:cs="Times New Roman" w:eastAsia="Times New Roman" w:hAnsi="Times New Roman"/>
          <w:sz w:val="18"/>
          <w:szCs w:val="18"/>
          <w:color w:val="auto"/>
        </w:rPr>
        <w:t xml:space="preserve">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9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with reference to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the Company has irrevocably deposited or caused to be irrevocably deposited (except as provided in </w:t>
      </w:r>
      <w:r>
        <w:rPr>
          <w:rFonts w:ascii="Times New Roman" w:cs="Times New Roman" w:eastAsia="Times New Roman" w:hAnsi="Times New Roman"/>
          <w:sz w:val="18"/>
          <w:szCs w:val="18"/>
          <w:u w:val="single" w:color="auto"/>
          <w:color w:val="auto"/>
        </w:rPr>
        <w:t>Section 8.2(c)</w:t>
      </w:r>
      <w:r>
        <w:rPr>
          <w:rFonts w:ascii="Times New Roman" w:cs="Times New Roman" w:eastAsia="Times New Roman" w:hAnsi="Times New Roman"/>
          <w:sz w:val="18"/>
          <w:szCs w:val="18"/>
          <w:color w:val="auto"/>
        </w:rPr>
        <w:t>)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such deposit will not result in a breach or violation of, or constitute a default under, this Indenture or any other agreement or instrument to which the Company is a party or by which it is bound;</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(c)           no Default or Event of Default with respect to the Securities of such Series shall have occurred and be continuing on the date of such deposit;</w:t>
      </w:r>
    </w:p>
    <w:p>
      <w:pPr>
        <w:spacing w:after="0" w:line="162"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(d)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subject to customary exclusions, the Holders of the Securities of such Series will not recognize income, gain or loss for Federal income tax purposes as a result of such deposit, covenant defeasance and discharge and will be subject to Federal income tax on the same amount and in the same manner and at the same times as would have been the case if such deposit, covenant defeasance and discharge had not occurred;</w:t>
      </w:r>
    </w:p>
    <w:p>
      <w:pPr>
        <w:spacing w:after="0" w:line="189"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(e)           the Company shall have delivered to the Trustee an Officer’s Certificate stating the deposit was not made by the Company with the intent of defeating, hindering, delaying or defrauding any other creditors of the Company; and</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(f)            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8.5         </w:t>
      </w:r>
      <w:r>
        <w:rPr>
          <w:rFonts w:ascii="Times New Roman" w:cs="Times New Roman" w:eastAsia="Times New Roman" w:hAnsi="Times New Roman"/>
          <w:sz w:val="18"/>
          <w:szCs w:val="18"/>
          <w:u w:val="single" w:color="auto"/>
          <w:color w:val="auto"/>
        </w:rPr>
        <w:t>  Repayment to Company</w:t>
      </w:r>
      <w:r>
        <w:rPr>
          <w:rFonts w:ascii="Times New Roman" w:cs="Times New Roman" w:eastAsia="Times New Roman" w:hAnsi="Times New Roman"/>
          <w:sz w:val="18"/>
          <w:szCs w:val="18"/>
          <w:color w:val="auto"/>
        </w:rPr>
        <w:t>. 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the Trustee shall have no further liability with respect to such money.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8.6         </w:t>
      </w:r>
      <w:r>
        <w:rPr>
          <w:rFonts w:ascii="Times New Roman" w:cs="Times New Roman" w:eastAsia="Times New Roman" w:hAnsi="Times New Roman"/>
          <w:sz w:val="18"/>
          <w:szCs w:val="18"/>
          <w:u w:val="single" w:color="auto"/>
          <w:color w:val="auto"/>
        </w:rPr>
        <w:t>  Reinstatement</w:t>
      </w:r>
      <w:r>
        <w:rPr>
          <w:rFonts w:ascii="Times New Roman" w:cs="Times New Roman" w:eastAsia="Times New Roman" w:hAnsi="Times New Roman"/>
          <w:sz w:val="18"/>
          <w:szCs w:val="18"/>
          <w:color w:val="auto"/>
        </w:rPr>
        <w:t xml:space="preserve">. If the Trustee or the Paying Agent is unable to apply any money deposited with respect to Securities of any Series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until such time as the Trustee or the Paying Agent is permitted to apply all such money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u w:val="single" w:color="auto"/>
          <w:color w:val="auto"/>
        </w:rPr>
        <w:t>  Without Consent of Holders</w:t>
      </w:r>
      <w:r>
        <w:rPr>
          <w:rFonts w:ascii="Times New Roman" w:cs="Times New Roman" w:eastAsia="Times New Roman" w:hAnsi="Times New Roman"/>
          <w:sz w:val="18"/>
          <w:szCs w:val="18"/>
          <w:color w:val="auto"/>
        </w:rPr>
        <w:t>. The Company and the Trustee may amend or supplement this Indenture or the Securities of one or 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without the consent of any Securityholder: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to cure any ambiguity, defect or inconsistency as evidenced by an Officer’s Certificate;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to comply with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to provide for uncertificated Securities in addition to or in place of certificated Securities;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to add guarantees with respect to Securities of any Series or secure Securities of any Series;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to surrender any of the Company’s rights or powers under this Indenture;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to add covenants or events of default for the benefit of the holders of Securities of any Series;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to comply with the applicable procedures of the applicable depositary;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to make any change that does not adversely affect the rights of any Securityholder;</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to provide for the issuance of and establish the form and terms and conditions of Securities of any Series as permitted by this Indenture;</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(j)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to comply with requirements of the SEC in order to effect or maintain the qualification of this Indenture under the TIA;</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(l)            to add to, change or eliminate any provision of this Indenture or the Securities of such Series in accordance with the TIA, or to comply with the provisions of DTC, Euroclear or Clearstream or the Trustee with respect to provisions of this Indenture or the Securities of such Series relating to transfers or exchanges of the Securities of such Series or beneficial interests in the Securities of such Series; or</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(m)          to conform any provision of this Indenture, insofar as it relates to the Securities of such Series, to the description of the Securities of such Series in the prospectus supplement relating to the offering of the Securities of such Series.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u w:val="single" w:color="auto"/>
          <w:color w:val="auto"/>
        </w:rPr>
        <w:t>  With Consent of Holders</w:t>
      </w:r>
      <w:r>
        <w:rPr>
          <w:rFonts w:ascii="Times New Roman" w:cs="Times New Roman" w:eastAsia="Times New Roman" w:hAnsi="Times New Roman"/>
          <w:sz w:val="18"/>
          <w:szCs w:val="18"/>
          <w:color w:val="auto"/>
        </w:rPr>
        <w:t xml:space="preserve">. The Company and the Trustee may enter into a supplemental indenture with the written consent of the Holders of at least a majority in aggregate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the Holders of at least a majority in aggregate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It shall not be necessary for the consent of the Holders of Securities under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9.3         </w:t>
      </w:r>
      <w:r>
        <w:rPr>
          <w:rFonts w:ascii="Times New Roman" w:cs="Times New Roman" w:eastAsia="Times New Roman" w:hAnsi="Times New Roman"/>
          <w:sz w:val="18"/>
          <w:szCs w:val="18"/>
          <w:u w:val="single" w:color="auto"/>
          <w:color w:val="auto"/>
        </w:rPr>
        <w:t>  Limitations</w:t>
      </w:r>
      <w:r>
        <w:rPr>
          <w:rFonts w:ascii="Times New Roman" w:cs="Times New Roman" w:eastAsia="Times New Roman" w:hAnsi="Times New Roman"/>
          <w:sz w:val="18"/>
          <w:szCs w:val="18"/>
          <w:color w:val="auto"/>
        </w:rPr>
        <w:t>. Without the consent of each Securityholder affected, an amendment or waiver may not: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reduce the principal amount of Securities whose Holders must consent to an amendment, supplement or waiver;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reduce the rate of or extend the time for payment of interest (including default interest) on any Security;</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(c)           reduce the principal or change the Stated Maturity of any Security or reduce the amount of, or postpone the date fixed for, the payment of any sinking fund or analogous obligation;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reduce the principal amount of Discount Securities payable upon acceleration of the maturity thereof;</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(e)           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make the principal of or interest, if any, on any Security payable in any currency other than that stated in the Security;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(g)           make any change in </w:t>
      </w:r>
      <w:r>
        <w:rPr>
          <w:rFonts w:ascii="Times New Roman" w:cs="Times New Roman" w:eastAsia="Times New Roman" w:hAnsi="Times New Roman"/>
          <w:sz w:val="18"/>
          <w:szCs w:val="18"/>
          <w:u w:val="single" w:color="auto"/>
          <w:color w:val="auto"/>
        </w:rPr>
        <w:t>Sections 6.8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9.3</w:t>
      </w:r>
      <w:r>
        <w:rPr>
          <w:rFonts w:ascii="Times New Roman" w:cs="Times New Roman" w:eastAsia="Times New Roman" w:hAnsi="Times New Roman"/>
          <w:sz w:val="18"/>
          <w:szCs w:val="18"/>
          <w:color w:val="auto"/>
        </w:rPr>
        <w:t xml:space="preserve"> (this sentence);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waive a redemption payment with respect to any Security, provided that such redemption is made at the Company’s option.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9.4         </w:t>
      </w:r>
      <w:r>
        <w:rPr>
          <w:rFonts w:ascii="Times New Roman" w:cs="Times New Roman" w:eastAsia="Times New Roman" w:hAnsi="Times New Roman"/>
          <w:sz w:val="18"/>
          <w:szCs w:val="18"/>
          <w:u w:val="single" w:color="auto"/>
          <w:color w:val="auto"/>
        </w:rPr>
        <w:t>  Compliance with Trust Indenture Act</w:t>
      </w:r>
      <w:r>
        <w:rPr>
          <w:rFonts w:ascii="Times New Roman" w:cs="Times New Roman" w:eastAsia="Times New Roman" w:hAnsi="Times New Roman"/>
          <w:sz w:val="18"/>
          <w:szCs w:val="18"/>
          <w:color w:val="auto"/>
        </w:rPr>
        <w:t>. Every amendment to this Indenture or the Securities of one or more Series shall be set forth in a supplemental indenture hereto that complies with the TIA as then in effect.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9.5         </w:t>
      </w:r>
      <w:r>
        <w:rPr>
          <w:rFonts w:ascii="Times New Roman" w:cs="Times New Roman" w:eastAsia="Times New Roman" w:hAnsi="Times New Roman"/>
          <w:sz w:val="18"/>
          <w:szCs w:val="18"/>
          <w:u w:val="single" w:color="auto"/>
          <w:color w:val="auto"/>
        </w:rPr>
        <w:t>  Revocation and Effect of Consents</w:t>
      </w:r>
      <w:r>
        <w:rPr>
          <w:rFonts w:ascii="Times New Roman" w:cs="Times New Roman" w:eastAsia="Times New Roman" w:hAnsi="Times New Roman"/>
          <w:sz w:val="18"/>
          <w:szCs w:val="18"/>
          <w:color w:val="auto"/>
        </w:rPr>
        <w:t>. 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Any amendment or waiver once effective shall bind every Securityholder of each Series affected by such amendment or waiver unless it is of the type described in any of clauses (a) through (h) of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In that case, the amendment or waiver shall bind each Holder of a Security who has consented to it and every subsequent Holder of a Security or portion of a Security that evidences the same debt as the consenting Holder’s Security.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9.6         </w:t>
      </w:r>
      <w:r>
        <w:rPr>
          <w:rFonts w:ascii="Times New Roman" w:cs="Times New Roman" w:eastAsia="Times New Roman" w:hAnsi="Times New Roman"/>
          <w:sz w:val="18"/>
          <w:szCs w:val="18"/>
          <w:u w:val="single" w:color="auto"/>
          <w:color w:val="auto"/>
        </w:rPr>
        <w:t>  Notation on or Exchange of Securities</w:t>
      </w:r>
      <w:r>
        <w:rPr>
          <w:rFonts w:ascii="Times New Roman" w:cs="Times New Roman" w:eastAsia="Times New Roman" w:hAnsi="Times New Roman"/>
          <w:sz w:val="18"/>
          <w:szCs w:val="18"/>
          <w:color w:val="auto"/>
        </w:rPr>
        <w:t xml:space="preserve">. 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new Securities of that Series that reflect the amendment or waiver.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9.7         </w:t>
      </w:r>
      <w:r>
        <w:rPr>
          <w:rFonts w:ascii="Times New Roman" w:cs="Times New Roman" w:eastAsia="Times New Roman" w:hAnsi="Times New Roman"/>
          <w:sz w:val="18"/>
          <w:szCs w:val="18"/>
          <w:u w:val="single" w:color="auto"/>
          <w:color w:val="auto"/>
        </w:rPr>
        <w:t>  Trustee Protected</w:t>
      </w:r>
      <w:r>
        <w:rPr>
          <w:rFonts w:ascii="Times New Roman" w:cs="Times New Roman" w:eastAsia="Times New Roman" w:hAnsi="Times New Roman"/>
          <w:sz w:val="18"/>
          <w:szCs w:val="18"/>
          <w:color w:val="auto"/>
        </w:rPr>
        <w:t xml:space="preserve">. In executing, or accepting the additional trusts created by, any supplemental indenture permitted by this Article or the modifications thereby of the trusts created by this Indenture, the Trustee shall be entitled to receive, and (subject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be fully protected in relying upon, an Officer’s Certificate or an Opinion of Counsel or both complying with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and stating that the supplemental indenture is authorized or permitted by this Indenture and constitutes a legal valid and binding obligation of the Company, enforceable against it in accordance with its terms.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10.1       </w:t>
      </w:r>
      <w:r>
        <w:rPr>
          <w:rFonts w:ascii="Times New Roman" w:cs="Times New Roman" w:eastAsia="Times New Roman" w:hAnsi="Times New Roman"/>
          <w:sz w:val="18"/>
          <w:szCs w:val="18"/>
          <w:u w:val="single" w:color="auto"/>
          <w:color w:val="auto"/>
        </w:rPr>
        <w:t>  Trust Indenture Act Controls</w:t>
      </w:r>
      <w:r>
        <w:rPr>
          <w:rFonts w:ascii="Times New Roman" w:cs="Times New Roman" w:eastAsia="Times New Roman" w:hAnsi="Times New Roman"/>
          <w:sz w:val="18"/>
          <w:szCs w:val="18"/>
          <w:color w:val="auto"/>
        </w:rPr>
        <w:t>. If any provision of this Indenture limits, qualifies, or conflicts with another provision which is required or deemed to be included in this Indenture by the TIA, such required or deemed provision shall control.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10.2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Lordstown Motors Corp.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2300 Hallock Young Road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Lordstown, Ohio 44481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Melissa A. Leonard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Baker &amp; Hostetler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127 Public Square, Suite 2000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Cleveland, Ohio 44114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Janet A. Spreen, Esq.</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_______________</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for subsequent notices or communications. Any notice or communication delivered to the Trustee shall be deemed effective upon actual receipt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Securityholder shall be sent electronically or by first-class mail to his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sent or published in the manner provided above, within the time prescribed, it is duly given, whether or not the Securityholder receives 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Company sends a notice or communication to Securityholders, it shall send a copy to the Trustee and each Agent at the same time.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u w:val="single" w:color="auto"/>
          <w:color w:val="auto"/>
        </w:rPr>
        <w:t>  Communication by Holders with Other Holders</w:t>
      </w:r>
      <w:r>
        <w:rPr>
          <w:rFonts w:ascii="Times New Roman" w:cs="Times New Roman" w:eastAsia="Times New Roman" w:hAnsi="Times New Roman"/>
          <w:sz w:val="18"/>
          <w:szCs w:val="18"/>
          <w:color w:val="auto"/>
        </w:rPr>
        <w:t>. 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10.4       </w:t>
      </w:r>
      <w:r>
        <w:rPr>
          <w:rFonts w:ascii="Times New Roman" w:cs="Times New Roman" w:eastAsia="Times New Roman" w:hAnsi="Times New Roman"/>
          <w:sz w:val="18"/>
          <w:szCs w:val="18"/>
          <w:u w:val="single" w:color="auto"/>
          <w:color w:val="auto"/>
        </w:rPr>
        <w:t>  Certificate and Opinion as to Conditions Precedent</w:t>
      </w:r>
      <w:r>
        <w:rPr>
          <w:rFonts w:ascii="Times New Roman" w:cs="Times New Roman" w:eastAsia="Times New Roman" w:hAnsi="Times New Roman"/>
          <w:sz w:val="18"/>
          <w:szCs w:val="18"/>
          <w:color w:val="auto"/>
        </w:rPr>
        <w:t>. Upon any request or application by the Company to the Trustee to take any action under this Indenture, the Company shall furnish to the Trustee:</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(a)           an Officer’s Certificate stating that, in the opinion of the signers, all conditions precedent, if any, provided for in this Indenture relating to the proposed action have been complied with; and</w:t>
      </w:r>
    </w:p>
    <w:p>
      <w:pPr>
        <w:spacing w:after="0" w:line="16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(b)           an Opinion of Counsel stating that, in the opinion of such counsel, all such conditions precedent have been complied with.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10.5       </w:t>
      </w:r>
      <w:r>
        <w:rPr>
          <w:rFonts w:ascii="Times New Roman" w:cs="Times New Roman" w:eastAsia="Times New Roman" w:hAnsi="Times New Roman"/>
          <w:sz w:val="18"/>
          <w:szCs w:val="18"/>
          <w:u w:val="single" w:color="auto"/>
          <w:color w:val="auto"/>
        </w:rPr>
        <w:t>  Statements Required in Certificate or Opinion</w:t>
      </w:r>
      <w:r>
        <w:rPr>
          <w:rFonts w:ascii="Times New Roman" w:cs="Times New Roman" w:eastAsia="Times New Roman" w:hAnsi="Times New Roman"/>
          <w:sz w:val="18"/>
          <w:szCs w:val="18"/>
          <w:color w:val="auto"/>
        </w:rPr>
        <w:t>. Each certificate or opinion with respect to compliance with a condition or covenant provided for in this Indenture (other than a certificate provided pursuant to TIA § 314(a)(4)) shall comply with the provisions of TIA § 314(e) and shall include: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 statement that the person making such certificate or opinion has read such covenant or condition;</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(b)           a brief statement as to the nature and scope of the examination or investigation upon which the statements or opinions contained in such certificate or opinion are based;</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(c)           a statement that, in the opinion of such person, he has made such examination or investigation as is necessary to enable him to express an informed opinion as to whether or not such covenant or condition has been complied with; and</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           a statement as to whether or not, in the opinion of such person, such condition or covenant has been complied with.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10.6       </w:t>
      </w:r>
      <w:r>
        <w:rPr>
          <w:rFonts w:ascii="Times New Roman" w:cs="Times New Roman" w:eastAsia="Times New Roman" w:hAnsi="Times New Roman"/>
          <w:sz w:val="17"/>
          <w:szCs w:val="17"/>
          <w:u w:val="single" w:color="auto"/>
          <w:color w:val="auto"/>
        </w:rPr>
        <w:t>  Rules by Trustee and Agents</w:t>
      </w:r>
      <w:r>
        <w:rPr>
          <w:rFonts w:ascii="Times New Roman" w:cs="Times New Roman" w:eastAsia="Times New Roman" w:hAnsi="Times New Roman"/>
          <w:sz w:val="17"/>
          <w:szCs w:val="17"/>
          <w:color w:val="auto"/>
        </w:rPr>
        <w:t>. The Trustee may make reasonable rules for action by or a meeting of Securityholders of one or more Series.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Agent may make reasonable rules and set reasonable requirements for its functions.</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10.7       </w:t>
      </w:r>
      <w:r>
        <w:rPr>
          <w:rFonts w:ascii="Times New Roman" w:cs="Times New Roman" w:eastAsia="Times New Roman" w:hAnsi="Times New Roman"/>
          <w:sz w:val="18"/>
          <w:szCs w:val="18"/>
          <w:u w:val="single" w:color="auto"/>
          <w:color w:val="auto"/>
        </w:rPr>
        <w:t>  Legal Holidays</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10.8       </w:t>
      </w:r>
      <w:r>
        <w:rPr>
          <w:rFonts w:ascii="Times New Roman" w:cs="Times New Roman" w:eastAsia="Times New Roman" w:hAnsi="Times New Roman"/>
          <w:sz w:val="18"/>
          <w:szCs w:val="18"/>
          <w:u w:val="single" w:color="auto"/>
          <w:color w:val="auto"/>
        </w:rPr>
        <w:t>  No Recourse Against Others</w:t>
      </w:r>
      <w:r>
        <w:rPr>
          <w:rFonts w:ascii="Times New Roman" w:cs="Times New Roman" w:eastAsia="Times New Roman" w:hAnsi="Times New Roman"/>
          <w:sz w:val="18"/>
          <w:szCs w:val="18"/>
          <w:color w:val="auto"/>
        </w:rPr>
        <w:t>. 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10.9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10.10     </w:t>
      </w:r>
      <w:r>
        <w:rPr>
          <w:rFonts w:ascii="Times New Roman" w:cs="Times New Roman" w:eastAsia="Times New Roman" w:hAnsi="Times New Roman"/>
          <w:sz w:val="18"/>
          <w:szCs w:val="18"/>
          <w:u w:val="single" w:color="auto"/>
          <w:color w:val="auto"/>
        </w:rPr>
        <w:t>  Governing Law; Waiver of Jury Trial; Consent to Jurisdiction</w:t>
      </w:r>
      <w:r>
        <w:rPr>
          <w:rFonts w:ascii="Times New Roman" w:cs="Times New Roman" w:eastAsia="Times New Roman" w:hAnsi="Times New Roman"/>
          <w:sz w:val="18"/>
          <w:szCs w:val="18"/>
          <w:color w:val="auto"/>
        </w:rPr>
        <w:t>. THIS INDENTURE AND THE SECURITIES, INCLUDING ANY CLAIM OR CONTROVERSY ARISING OUT OF OR RELATING TO THE INDENTURE OR THE SECURITIES, SHALL BE GOVERNED BY THE LAWS OF THE STATE OF NEW YORK. 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8"/>
          <w:szCs w:val="18"/>
          <w:i w:val="1"/>
          <w:iCs w:val="1"/>
          <w:color w:val="auto"/>
        </w:rPr>
        <w:t>Specified Courts</w:t>
      </w:r>
      <w:r>
        <w:rPr>
          <w:rFonts w:ascii="Times New Roman" w:cs="Times New Roman" w:eastAsia="Times New Roman" w:hAnsi="Times New Roman"/>
          <w:sz w:val="18"/>
          <w:szCs w:val="18"/>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10.11     </w:t>
      </w:r>
      <w:r>
        <w:rPr>
          <w:rFonts w:ascii="Times New Roman" w:cs="Times New Roman" w:eastAsia="Times New Roman" w:hAnsi="Times New Roman"/>
          <w:sz w:val="18"/>
          <w:szCs w:val="18"/>
          <w:u w:val="single" w:color="auto"/>
          <w:color w:val="auto"/>
        </w:rPr>
        <w:t>  No Adverse Interpretation of Other Agreements</w:t>
      </w:r>
      <w:r>
        <w:rPr>
          <w:rFonts w:ascii="Times New Roman" w:cs="Times New Roman" w:eastAsia="Times New Roman" w:hAnsi="Times New Roman"/>
          <w:sz w:val="18"/>
          <w:szCs w:val="18"/>
          <w:color w:val="auto"/>
        </w:rPr>
        <w:t>. This Indenture may not be used to interpret another indenture, loan or debt agreement of the Company or a Subsidiary of the Company. Any such indenture, loan or debt agreement may not be used to interpret this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10.12     </w:t>
      </w:r>
      <w:r>
        <w:rPr>
          <w:rFonts w:ascii="Times New Roman" w:cs="Times New Roman" w:eastAsia="Times New Roman" w:hAnsi="Times New Roman"/>
          <w:sz w:val="18"/>
          <w:szCs w:val="18"/>
          <w:u w:val="single" w:color="auto"/>
          <w:color w:val="auto"/>
        </w:rPr>
        <w:t>  Successors</w:t>
      </w:r>
      <w:r>
        <w:rPr>
          <w:rFonts w:ascii="Times New Roman" w:cs="Times New Roman" w:eastAsia="Times New Roman" w:hAnsi="Times New Roman"/>
          <w:sz w:val="18"/>
          <w:szCs w:val="18"/>
          <w:color w:val="auto"/>
        </w:rPr>
        <w:t>. All agreements of the Company in this Indenture and the Securities shall bind its successor. All agreements of the Trustee in this Indenture shall bind its successor.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10.13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10.14     </w:t>
      </w:r>
      <w:r>
        <w:rPr>
          <w:rFonts w:ascii="Times New Roman" w:cs="Times New Roman" w:eastAsia="Times New Roman" w:hAnsi="Times New Roman"/>
          <w:sz w:val="18"/>
          <w:szCs w:val="18"/>
          <w:u w:val="single" w:color="auto"/>
          <w:color w:val="auto"/>
        </w:rPr>
        <w:t>  Table of Contents, Headings, Etc</w:t>
      </w:r>
      <w:r>
        <w:rPr>
          <w:rFonts w:ascii="Times New Roman" w:cs="Times New Roman" w:eastAsia="Times New Roman" w:hAnsi="Times New Roman"/>
          <w:sz w:val="18"/>
          <w:szCs w:val="18"/>
          <w:color w:val="auto"/>
        </w:rPr>
        <w:t>. 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10.15     </w:t>
      </w:r>
      <w:r>
        <w:rPr>
          <w:rFonts w:ascii="Times New Roman" w:cs="Times New Roman" w:eastAsia="Times New Roman" w:hAnsi="Times New Roman"/>
          <w:sz w:val="18"/>
          <w:szCs w:val="18"/>
          <w:u w:val="single" w:color="auto"/>
          <w:color w:val="auto"/>
        </w:rPr>
        <w:t>  Securities in a Foreign Currency</w:t>
      </w:r>
      <w:r>
        <w:rPr>
          <w:rFonts w:ascii="Times New Roman" w:cs="Times New Roman" w:eastAsia="Times New Roman" w:hAnsi="Times New Roman"/>
          <w:sz w:val="18"/>
          <w:szCs w:val="18"/>
          <w:color w:val="auto"/>
        </w:rPr>
        <w:t xml:space="preserve">. Unless otherwise specified in a Board Resolution, a supplemental indenture hereto or an Officer’s Certificate delivered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6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10.16     </w:t>
      </w:r>
      <w:r>
        <w:rPr>
          <w:rFonts w:ascii="Times New Roman" w:cs="Times New Roman" w:eastAsia="Times New Roman" w:hAnsi="Times New Roman"/>
          <w:sz w:val="17"/>
          <w:szCs w:val="17"/>
          <w:u w:val="single" w:color="auto"/>
          <w:color w:val="auto"/>
        </w:rPr>
        <w:t>  Judgment Currency</w:t>
      </w:r>
      <w:r>
        <w:rPr>
          <w:rFonts w:ascii="Times New Roman" w:cs="Times New Roman" w:eastAsia="Times New Roman" w:hAnsi="Times New Roman"/>
          <w:sz w:val="17"/>
          <w:szCs w:val="17"/>
          <w:color w:val="auto"/>
        </w:rPr>
        <w:t>. 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7"/>
          <w:szCs w:val="17"/>
          <w:i w:val="1"/>
          <w:iCs w:val="1"/>
          <w:color w:val="auto"/>
        </w:rPr>
        <w:t>Required Currency</w:t>
      </w:r>
      <w:r>
        <w:rPr>
          <w:rFonts w:ascii="Times New Roman" w:cs="Times New Roman" w:eastAsia="Times New Roman" w:hAnsi="Times New Roman"/>
          <w:sz w:val="17"/>
          <w:szCs w:val="17"/>
          <w:color w:val="auto"/>
        </w:rPr>
        <w:t>”) into a currency in which a judgment will be rendered (the “</w:t>
      </w:r>
      <w:r>
        <w:rPr>
          <w:rFonts w:ascii="Times New Roman" w:cs="Times New Roman" w:eastAsia="Times New Roman" w:hAnsi="Times New Roman"/>
          <w:sz w:val="17"/>
          <w:szCs w:val="17"/>
          <w:i w:val="1"/>
          <w:iCs w:val="1"/>
          <w:color w:val="auto"/>
        </w:rPr>
        <w:t>Judgment Currency</w:t>
      </w:r>
      <w:r>
        <w:rPr>
          <w:rFonts w:ascii="Times New Roman" w:cs="Times New Roman" w:eastAsia="Times New Roman" w:hAnsi="Times New Roman"/>
          <w:sz w:val="17"/>
          <w:szCs w:val="17"/>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w:t>
      </w:r>
    </w:p>
    <w:p>
      <w:pPr>
        <w:spacing w:after="0" w:line="4" w:lineRule="exact"/>
        <w:rPr>
          <w:sz w:val="20"/>
          <w:szCs w:val="20"/>
          <w:color w:val="auto"/>
        </w:rPr>
      </w:pPr>
    </w:p>
    <w:p>
      <w:pPr>
        <w:jc w:val="both"/>
        <w:ind w:firstLine="8"/>
        <w:spacing w:after="0" w:line="253" w:lineRule="auto"/>
        <w:tabs>
          <w:tab w:leader="none" w:pos="2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 means any day except a Saturday, Sunday or a Legal Holiday in the City of New York on which banking institutions are authorized or required by law, regulation or executive order to close.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10.17     </w:t>
      </w:r>
      <w:r>
        <w:rPr>
          <w:rFonts w:ascii="Times New Roman" w:cs="Times New Roman" w:eastAsia="Times New Roman" w:hAnsi="Times New Roman"/>
          <w:sz w:val="18"/>
          <w:szCs w:val="18"/>
          <w:u w:val="single" w:color="auto"/>
          <w:color w:val="auto"/>
        </w:rPr>
        <w:t>  Force Majeure</w:t>
      </w:r>
      <w:r>
        <w:rPr>
          <w:rFonts w:ascii="Times New Roman" w:cs="Times New Roman" w:eastAsia="Times New Roman" w:hAnsi="Times New Roman"/>
          <w:sz w:val="18"/>
          <w:szCs w:val="18"/>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10.18     </w:t>
      </w:r>
      <w:r>
        <w:rPr>
          <w:rFonts w:ascii="Times New Roman" w:cs="Times New Roman" w:eastAsia="Times New Roman" w:hAnsi="Times New Roman"/>
          <w:sz w:val="18"/>
          <w:szCs w:val="18"/>
          <w:u w:val="single" w:color="auto"/>
          <w:color w:val="auto"/>
        </w:rPr>
        <w:t>  U.S.A. Patriot Act</w:t>
      </w:r>
      <w:r>
        <w:rPr>
          <w:rFonts w:ascii="Times New Roman" w:cs="Times New Roman" w:eastAsia="Times New Roman" w:hAnsi="Times New Roman"/>
          <w:sz w:val="18"/>
          <w:szCs w:val="18"/>
          <w:color w:val="auto"/>
        </w:rPr>
        <w:t>. 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SINKING FUNDS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  Applicability of Article</w:t>
      </w:r>
      <w:r>
        <w:rPr>
          <w:rFonts w:ascii="Times New Roman" w:cs="Times New Roman" w:eastAsia="Times New Roman" w:hAnsi="Times New Roman"/>
          <w:sz w:val="18"/>
          <w:szCs w:val="18"/>
          <w:color w:val="auto"/>
        </w:rPr>
        <w:t xml:space="preserve">. The provisions of this Article shall be applicable to any sinking fund for the retirement of the Securities of a Series if so provided by the terms of such Securities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except as otherwise permitted or required by any form of Security of such Series issued pursuant to this Indenture.</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the Securities of any Series is herein referred to as a “</w:t>
      </w:r>
      <w:r>
        <w:rPr>
          <w:rFonts w:ascii="Times New Roman" w:cs="Times New Roman" w:eastAsia="Times New Roman" w:hAnsi="Times New Roman"/>
          <w:sz w:val="18"/>
          <w:szCs w:val="18"/>
          <w:i w:val="1"/>
          <w:iCs w:val="1"/>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sinking fund payment</w:t>
      </w:r>
      <w:r>
        <w:rPr>
          <w:rFonts w:ascii="Times New Roman" w:cs="Times New Roman" w:eastAsia="Times New Roman" w:hAnsi="Times New Roman"/>
          <w:sz w:val="18"/>
          <w:szCs w:val="18"/>
          <w:color w:val="auto"/>
        </w:rPr>
        <w:t>” and any other amount provided for by the terms of Securities of such Series is herein referred to as an “</w:t>
      </w:r>
      <w:r>
        <w:rPr>
          <w:rFonts w:ascii="Times New Roman" w:cs="Times New Roman" w:eastAsia="Times New Roman" w:hAnsi="Times New Roman"/>
          <w:sz w:val="18"/>
          <w:szCs w:val="18"/>
          <w:i w:val="1"/>
          <w:iCs w:val="1"/>
          <w:color w:val="auto"/>
        </w:rPr>
        <w:t>optional sinking fund payment</w:t>
      </w:r>
      <w:r>
        <w:rPr>
          <w:rFonts w:ascii="Times New Roman" w:cs="Times New Roman" w:eastAsia="Times New Roman" w:hAnsi="Times New Roman"/>
          <w:sz w:val="18"/>
          <w:szCs w:val="18"/>
          <w:color w:val="auto"/>
        </w:rPr>
        <w:t>.” If provided for by the terms of Securities of any Series, the cash amount of any sinking fund payment may be subject to reduction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Each sinking fund payment shall be applied to the redemption of Securities of any Series as provided for by the terms of the Securities of such Series.</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  Satisfaction of Sinking Fund Payments with Securities</w:t>
      </w:r>
      <w:r>
        <w:rPr>
          <w:rFonts w:ascii="Times New Roman" w:cs="Times New Roman" w:eastAsia="Times New Roman" w:hAnsi="Times New Roman"/>
          <w:sz w:val="18"/>
          <w:szCs w:val="18"/>
          <w:color w:val="auto"/>
        </w:rPr>
        <w:t xml:space="preserve">. 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  Redemption of Securities for Sinking Fund</w:t>
      </w:r>
      <w:r>
        <w:rPr>
          <w:rFonts w:ascii="Times New Roman" w:cs="Times New Roman" w:eastAsia="Times New Roman" w:hAnsi="Times New Roman"/>
          <w:sz w:val="18"/>
          <w:szCs w:val="18"/>
          <w:color w:val="auto"/>
        </w:rPr>
        <w:t xml:space="preserve">. 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the Company shall send or cause to be sent a notice of the redemption thereof to be given in the name of and at the expense of the Company in the manner provided in and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Such notice having been duly given, the redemption of such Securities shall be made upon the terms and in the manner stated in </w:t>
      </w:r>
      <w:r>
        <w:rPr>
          <w:rFonts w:ascii="Times New Roman" w:cs="Times New Roman" w:eastAsia="Times New Roman" w:hAnsi="Times New Roman"/>
          <w:sz w:val="18"/>
          <w:szCs w:val="18"/>
          <w:u w:val="single" w:color="auto"/>
          <w:color w:val="auto"/>
        </w:rPr>
        <w:t>Sections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as of the day and year first above written.</w:t>
      </w:r>
    </w:p>
    <w:p>
      <w:pPr>
        <w:spacing w:after="0" w:line="23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LORDSTOWN MOTORS CORP.</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_____________________, as Trustee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80"/>
          </w:cols>
          <w:pgMar w:left="980" w:top="904" w:right="1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091690" cy="3429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209169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Lordstown Motors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2300 Hallock Young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Lordstown, Ohio 44481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acted as counsel to Lordstown Motors Corp., a Delaware corporation (the “Company”), in connection with the filing of the Company’s Registration Statement on Form S-3 (the “Registration Statement”) with the Securities and Exchange Commission (the “Commission”) under the Securities Act of 1933, as amended (the “Act”).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Registration Statement relates to the proposed issuance and sale by the Company, from time to time, pursuant to Rule 415 under the Act, as set forth in the Registration Statement, the prospectus contained therein (the “Prospectus”) and the supplements to the Prospectus referred to therein (each a “Prospectus Supplement”), of up to an aggregate offering price of $500,000,000 or the equivalent thereof, of shares of the Company’s Class A common stock, $0.0001 par value per share (the “Common Stock”), shares of the Company’s preferred stock, $0.0001 par value per share (the “Preferred Stock”), the Company’s debt securities (the “Debt Securities”), depositary shares (the “Depositary Shares”) of the Company representing a fractional interest in a share of Preferred Stock of the Company, warrants to purchase any of the securities described above (the “Warrants”), subscription rights to purchase the Company’s Common Stock, Preferred Stock, Warrants or Debt Securities or units consisting of some or all of these securities (the “Subscription Rights”), purchase contracts of the Company with respect to the securities of the Company or securities of an unaffiliated entity (the “Purchase Contracts”), and units consisting of any of the securities described above in any combination (the “Units” and together with the Common Stock, the Preferred Stock, the Debt Securities, the Depositary Shares, the Warrants, the Subscription Rights, and the Purchase Contracts are collectively referred to herein as the “Securities”).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Securities are to be sold from time to time as set forth in the Registration Statement, the Prospectus contained therein and the Prospectus Supplements. The Debt Securities are to be issued pursuant to a debt securities indenture (the “Indenture”), the form of which has been filed as an exhibit to the Registration Statement and is to be entered into between the Company and a trustee to be named in a Prospectus Supplement to the Registration Statement (the “Trustee”). The Securities are to be sold pursuant to a purchase, underwriting, subscription or similar agreement in substantially the form to be filed under a Current Report on Form 8-K. The Indenture may be supplemented, as applicable, in connection with the issuance of each such series of Debt Securities, by a supplemental indenture or other appropriate action of the Company creating such series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0" w:name="page81"/>
    <w:bookmarkEnd w:id="8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examined instruments, documents, certificates and records that we have deemed relevant and necessary for the basis of our opinions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that the Registration Statement, and any amendments thereto (including post-effective amendments), will have become effective under the Act; (v) that a Prospectus Supplement will have been filed with the Commission describing the Securities offered thereby; (vi) that the Securities will be issued and sold in compliance with applicable U.S. federal and state securities laws and in the manner stated in the Registration Statement and the applicable Prospectus Supplement; (vii) that a definitive purchase, underwriting or similar agreement with respect to any Securities offered will have been duly authorized and validly executed and delivered by the Company and the other parties thereto; (viii) that any Securities issuable upon conversion, exchange, redemption or exercise of any Securities being offered will be duly authorized, created and, if appropriate, reserved for issuance upon such conversion, exchange, redemption or exercise; (ix) with respect to shares of Common Stock or Preferred Stock offered, that there will be sufficient shares of Common Stock or Preferred Stock authorized under the Company’s organizational documents that are not otherwise reserved for issuance; and (x)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on such examination, we are of the opinion that: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          With respect to shares of the Common Stock to be sold by the Company, when both: (a) the Board of Directors of the Company or a duly constituted and acting committee thereof (such Board of Directors or committee being hereinafter referred to as the “Board”) has taken all necessary corporate action to approve the issuance and the terms of the offering of the shares of Common Stock and related matters; and (b) the shares of Common Stock have been delivered either (i) in accordance with the applicable definitive purchase, underwriting, subscription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          With respect to any particular series of shares of Preferred Stock, when both: (a) the Board has taken all necessary corporate action to approve the issuance and terms of the shares of Preferred Stock, the terms of the offering thereof, and related matters, including the adoption of a certificate of designation relating to such Preferred Stock conforming to the General Corporation Law of the State of Delaware (a “Certificate”) and the filing of the Certificate with the Secretary of State of the State of Delaware; and (b) the shares of Preferred Stock have been delivered either (i) in accordance with the applicable definitive purchase, underwriting, subscription or similar agreement approved by the Board, or upon the exercise of Warrants to purchase Preferred Stock, upon payment of the consideration therefor (not less than the par value of the Preferred Stock) provided for therein or upon conversion or exercise of such Security or the instrument governing such Security providing for such conversion or exercise as approved by the Board, for the consideration approved by the Board, then the shares of Preferred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3.          With respect to Debt Securities to be issued under the Indenture, when: (a) the Trustee is qualified to act as Trustee under the Indenture, and the Company has filed respective Form T-1s for the Trustee with the Commission; (b) the Trustee has duly executed and delivered the Indenture; (c) the Indenture has been duly authorized and validly executed and delivered by the Company to the Trustee; (d) the Board has taken all necessary corporate action to approve the issuance and terms of such Debt Securities, the terms of the offering thereof and related matters; and (e) such Debt Securities have been duly executed, authenticated, issued and delivered in accordance with the provisions of the Indenture and the applicable definitive purchase, underwriting, subscription or similar agreement approved by the Board, or upon the exercise of Warrants to purchase Debt Securities, upon payment of the consideration therefor provided for therein, such Debt Securities will be validly issued and will constitute valid and binding obligations of the Company, enforceable against the Company in accordance with their terms, and entitled to the benefits of the Indenture;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4.          With respect to Depositary Shares, when: (a) the Board has taken all necessary corporate action to approve the issuance and terms of the Depositary Shares, the terms of the offering thereof, and related matters, including the adoption of a Certificate relating to the Preferred Stock underlying such Depositary Shares and the filing of the Certificate with the Secretary of State of the State of Delaware; (b) the Deposit Agreement (the “Deposit Agreement”) or agreements relating to the Depositary Shares and the related Depositary Receipts (the “Depositary Receipts”) have been duly authorized and validly executed and delivered by the Company and the depositary appointed by the Company; (c) the shares of Preferred Stock underlying such Depositary Shares have been deposited with a bank or trust company (which meets the requirements for the depositary set forth in the Registration Statement) under the applicable Deposit Agreement; and (d) the Depositary Receipts representing the Depositary Shares have been duly executed, countersigned, registered and delivered in accordance with the appropriate Deposit Agreement and the applicable definitive purchase, underwriting, subscription or similar agreement approved by the Board upon payment of the consideration therefor provided for therein, the Depositary Shares will be validly issued, fully paid and nonassessable, and entitled to the rights specified in the Deposit Agreement;</w:t>
      </w:r>
    </w:p>
    <w:p>
      <w:pPr>
        <w:spacing w:after="0" w:line="194"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5.          With respect to the Warrants, when both: (a) the Board has taken all necessary corporate action to approve the issuance and terms of the Warrants and related matters; and (b) the Warrants have been duly executed and delivered against payment therefor, pursuant to the applicable definitive purchase, underwriting, subscription, warrant or similar agreement duly authorized, executed and delivered by the Company and a warrant agent, as applicable, and the certificates for the Warrants have been duly executed and delivered by the Company and such warrant agent, then the Warrants will be validly issued and will constitute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          With respect to the Subscription Rights, when both: (a) the Board has taken all necessary corporate action to authorize the issuance and terms of the Subscription Rights, the terms of the offering thereof, and related matters and (b) the rights agreement under which the Subscription Rights are to be issued has been duly authorized and validly executed and delivered by the Company, then the Subscription Rights will be valid and binding obligations of the Company, enforceable against the Company in accordance with their terms;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7.          With respect to the Units, when both: (a) the Board has taken all necessary corporate action to approve the issuance and terms of the Units (including any Securities underlying the Units) and related matters; and (b) the Units (including any Securities underlying the Units) have been duly executed and delivered against payment therefor, pursuant to the applicable definitive purchase, underwriting, or similar agreement duly authorized, executed and delivered by the Company and any applicable unit or other agents, and the certificates for the Units (including any Securities underlying the Units) have been duly executed and delivered by the Company and any applicable unit or other agents, then the Units will be validly issued and will constitute valid and binding obligations of the Company, enforceable against the Company in accordance with their terms.</w:t>
      </w:r>
    </w:p>
    <w:p>
      <w:pPr>
        <w:spacing w:after="0" w:line="187" w:lineRule="exact"/>
        <w:rPr>
          <w:sz w:val="20"/>
          <w:szCs w:val="20"/>
          <w:color w:val="auto"/>
        </w:rPr>
      </w:pPr>
    </w:p>
    <w:p>
      <w:pPr>
        <w:jc w:val="both"/>
        <w:ind w:firstLine="656"/>
        <w:spacing w:after="0" w:line="258" w:lineRule="auto"/>
        <w:tabs>
          <w:tab w:leader="none" w:pos="8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With respect to the Purchase Contracts, when both: (a) the Board has taken all necessary corporate action to approve the issuance and terms of the Purchase Contracts and related matters; and (b) the Purchase Contracts have been duly executed and delivered against payment therefor, pursuant to the applicable definitive purchase, underwriting, subscription, purchase or similar agreement duly authorized, executed and delivered by the Company, then the Purchase Contracts will be validly issued and will constitute valid and binding obligations of the Company, enforceable against the Company in accordance with their terms;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opinion that any document is legal, valid and binding is qualified as to: (a) limitations imposed by bankruptcy, insolvency, reorganization, arrangement, fraudulent conveyance, moratorium or other laws relating to or affecting the rights of creditors generally; (b) rights to indemnification and contribution, which may be limited by applicable law or equitable principles; and (c) 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express no opinion as to the laws of any other jurisdiction, other than the federal laws of the United States of America, the State of New York as to the enforceability of the Debt Securities and the General Corporation Law of the State of Delaware. We do not express any opinion as to the effect on the matters covered by this letter of the laws of any other jurisdiction. The opinion expressed above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 expressed in this opinion letter.</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letter as Exhibit 5.1 to the Registration Statement. In giving such consent, we do not hereby admit that we are in the category of persons whose consent is required under Section 7 of the Act or the rules and regulations of the Commission.</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Baker &amp; Hostetler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26035"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consent to the use of our reports dated February 28, 2022, with respect to the consolidated financial statements of Lordstown Motors Corp., and the effectiveness of internal control over financial reporting, incorporated herein by reference and to the reference to our firm under the heading “Experts” in the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(the “Registration Statement”) of Lordstown Motors Corp. (the “Company”) of our report dated August 24, 2020, with respect to the financial statements of the Company are incorporated by reference in the Registration Statement, and to all references to our Firm included in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Clark, Schaefer, Hackett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S-3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Lordstown Motors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4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Proposed</w:t>
            </w: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Title of</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Securities to</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3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be</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3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0" w:type="dxa"/>
            <w:vAlign w:val="bottom"/>
          </w:tcPr>
          <w:p>
            <w:pPr>
              <w:spacing w:after="0"/>
              <w:rPr>
                <w:sz w:val="1"/>
                <w:szCs w:val="1"/>
                <w:color w:val="auto"/>
              </w:rPr>
            </w:pPr>
          </w:p>
        </w:tc>
      </w:tr>
      <w:tr>
        <w:trPr>
          <w:trHeight w:val="23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Security Type</w:t>
            </w:r>
          </w:p>
        </w:tc>
        <w:tc>
          <w:tcPr>
            <w:tcW w:w="180" w:type="dxa"/>
            <w:vAlign w:val="bottom"/>
          </w:tcPr>
          <w:p>
            <w:pPr>
              <w:spacing w:after="0"/>
              <w:rPr>
                <w:sz w:val="20"/>
                <w:szCs w:val="20"/>
                <w:color w:val="auto"/>
              </w:rPr>
            </w:pPr>
          </w:p>
        </w:tc>
        <w:tc>
          <w:tcPr>
            <w:tcW w:w="22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32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Share (2)(3)</w:t>
            </w:r>
          </w:p>
        </w:tc>
        <w:tc>
          <w:tcPr>
            <w:tcW w:w="120" w:type="dxa"/>
            <w:vAlign w:val="bottom"/>
          </w:tcPr>
          <w:p>
            <w:pPr>
              <w:spacing w:after="0"/>
              <w:rPr>
                <w:sz w:val="20"/>
                <w:szCs w:val="20"/>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(3)(4)</w:t>
            </w:r>
          </w:p>
        </w:tc>
        <w:tc>
          <w:tcPr>
            <w:tcW w:w="2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0" w:type="dxa"/>
            <w:vAlign w:val="bottom"/>
          </w:tcPr>
          <w:p>
            <w:pPr>
              <w:spacing w:after="0"/>
              <w:rPr>
                <w:sz w:val="1"/>
                <w:szCs w:val="1"/>
                <w:color w:val="auto"/>
              </w:rPr>
            </w:pPr>
          </w:p>
        </w:tc>
      </w:tr>
      <w:tr>
        <w:trPr>
          <w:trHeight w:val="191"/>
        </w:trPr>
        <w:tc>
          <w:tcPr>
            <w:tcW w:w="10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Equity (1)</w:t>
            </w:r>
          </w:p>
        </w:tc>
        <w:tc>
          <w:tcPr>
            <w:tcW w:w="18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Class A common Stock, par</w:t>
            </w: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080" w:type="dxa"/>
            <w:vAlign w:val="bottom"/>
            <w:shd w:val="clear" w:color="auto" w:fill="CCEEFF"/>
          </w:tcPr>
          <w:p>
            <w:pPr>
              <w:spacing w:after="0"/>
              <w:rPr>
                <w:sz w:val="21"/>
                <w:szCs w:val="21"/>
                <w:color w:val="auto"/>
              </w:rPr>
            </w:pPr>
          </w:p>
        </w:tc>
        <w:tc>
          <w:tcPr>
            <w:tcW w:w="23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 $0.0001 per share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(1)</w:t>
            </w:r>
          </w:p>
        </w:tc>
        <w:tc>
          <w:tcPr>
            <w:tcW w:w="238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80" w:type="dxa"/>
            <w:vAlign w:val="bottom"/>
          </w:tcPr>
          <w:p>
            <w:pPr>
              <w:spacing w:after="0"/>
              <w:rPr>
                <w:sz w:val="20"/>
                <w:szCs w:val="20"/>
                <w:color w:val="auto"/>
              </w:rPr>
            </w:pPr>
          </w:p>
        </w:tc>
        <w:tc>
          <w:tcPr>
            <w:tcW w:w="23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$0.0001 per share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(1)</w:t>
            </w:r>
          </w:p>
        </w:tc>
        <w:tc>
          <w:tcPr>
            <w:tcW w:w="23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Depositary Shares</w:t>
            </w: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Debt (1)</w:t>
            </w:r>
          </w:p>
        </w:tc>
        <w:tc>
          <w:tcPr>
            <w:tcW w:w="23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Debt Securities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(1)</w:t>
            </w:r>
          </w:p>
        </w:tc>
        <w:tc>
          <w:tcPr>
            <w:tcW w:w="23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Other (1)</w:t>
            </w:r>
          </w:p>
        </w:tc>
        <w:tc>
          <w:tcPr>
            <w:tcW w:w="23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Subscription Rights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(1)</w:t>
            </w:r>
          </w:p>
        </w:tc>
        <w:tc>
          <w:tcPr>
            <w:tcW w:w="23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Contracts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Other (1)</w:t>
            </w:r>
          </w:p>
        </w:tc>
        <w:tc>
          <w:tcPr>
            <w:tcW w:w="23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Units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10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Unallocated</w:t>
            </w:r>
          </w:p>
        </w:tc>
        <w:tc>
          <w:tcPr>
            <w:tcW w:w="180" w:type="dxa"/>
            <w:vAlign w:val="bottom"/>
            <w:tcBorders>
              <w:top w:val="single" w:sz="8" w:color="CCEEFF"/>
            </w:tcBorders>
            <w:shd w:val="clear" w:color="auto" w:fill="CCEEFF"/>
          </w:tcPr>
          <w:p>
            <w:pPr>
              <w:spacing w:after="0"/>
              <w:rPr>
                <w:sz w:val="15"/>
                <w:szCs w:val="15"/>
                <w:color w:val="auto"/>
              </w:rPr>
            </w:pPr>
          </w:p>
        </w:tc>
        <w:tc>
          <w:tcPr>
            <w:tcW w:w="20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Universal</w:t>
            </w:r>
          </w:p>
        </w:tc>
        <w:tc>
          <w:tcPr>
            <w:tcW w:w="1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Shelf (1)</w:t>
            </w: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320" w:type="dxa"/>
            <w:vAlign w:val="bottom"/>
            <w:tcBorders>
              <w:bottom w:val="single" w:sz="8" w:color="CCEEFF"/>
            </w:tcBorders>
            <w:vMerge w:val="continue"/>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500,000,000</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0.0000927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46,350</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40" w:type="dxa"/>
            <w:vAlign w:val="bottom"/>
            <w:gridSpan w:val="5"/>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Total Offering Amounts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500,000,000</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46,350</w:t>
            </w:r>
          </w:p>
        </w:tc>
        <w:tc>
          <w:tcPr>
            <w:tcW w:w="0" w:type="dxa"/>
            <w:vAlign w:val="bottom"/>
          </w:tcPr>
          <w:p>
            <w:pPr>
              <w:spacing w:after="0"/>
              <w:rPr>
                <w:sz w:val="1"/>
                <w:szCs w:val="1"/>
                <w:color w:val="auto"/>
              </w:rPr>
            </w:pPr>
          </w:p>
        </w:tc>
      </w:tr>
      <w:tr>
        <w:trPr>
          <w:trHeight w:val="223"/>
        </w:trPr>
        <w:tc>
          <w:tcPr>
            <w:tcW w:w="10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3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hanging="572"/>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securities that may be offered and sold from time to time in one or more offerings by Lordstown Motors Corp. (the “Registrant”).</w:t>
      </w:r>
    </w:p>
    <w:p>
      <w:pPr>
        <w:spacing w:after="0" w:line="225" w:lineRule="exact"/>
        <w:rPr>
          <w:rFonts w:ascii="Times New Roman" w:cs="Times New Roman" w:eastAsia="Times New Roman" w:hAnsi="Times New Roman"/>
          <w:sz w:val="18"/>
          <w:szCs w:val="18"/>
          <w:color w:val="auto"/>
        </w:rPr>
      </w:pPr>
    </w:p>
    <w:p>
      <w:pPr>
        <w:jc w:val="both"/>
        <w:ind w:left="580" w:hanging="572"/>
        <w:spacing w:after="0" w:line="258" w:lineRule="auto"/>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registered hereunder include an indeterminate number of (i) shares of Class A common stock, (ii) shares of preferred stock, (iii) depositary shares, (iv) debt securities, (v) warrants, (vi) subscription rights; (vii) purchase contracts, and (viii) units, which together shall have an aggregate initial offering price not to exceed $500,000,000. Any securities registered hereunder may be sold separately or as units with other securities registered hereunder. There are also being registered hereunder an indeterminate number of shares of common stock and preferred stock as shall be issuable upon conversion, exchange or exercise of any securities that provide for such issuance.</w:t>
      </w:r>
    </w:p>
    <w:p>
      <w:pPr>
        <w:spacing w:after="0" w:line="183"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security and proposed maximum aggregate offering price per class of security will be determined from time to time by the Registrant in connection with the issuance by the Registrant of the securities registered hereunder.</w:t>
      </w:r>
    </w:p>
    <w:p>
      <w:pPr>
        <w:spacing w:after="0" w:line="16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1"/>
    </w:lvl>
    <w:lvl w:ilvl="1">
      <w:lvlJc w:val="left"/>
      <w:lvlText w:val="(%2)"/>
      <w:numFmt w:val="lowerRoman"/>
      <w:start w:val="1"/>
    </w:lvl>
  </w:abstractNum>
  <w:abstractNum w:abstractNumId="27">
    <w:nsid w:val="4516DDE9"/>
    <w:multiLevelType w:val="hybridMultilevel"/>
    <w:lvl w:ilvl="0">
      <w:lvlJc w:val="left"/>
      <w:lvlText w:val="(%1)"/>
      <w:numFmt w:val="decimal"/>
      <w:start w:val="2"/>
    </w:lvl>
    <w:lvl w:ilvl="1">
      <w:lvlJc w:val="left"/>
      <w:lvlText w:val="(%2)"/>
      <w:numFmt w:val="lowerRoman"/>
      <w:start w:val="1"/>
    </w:lvl>
  </w:abstractNum>
  <w:abstractNum w:abstractNumId="28">
    <w:nsid w:val="3006C83E"/>
    <w:multiLevelType w:val="hybridMultilevel"/>
    <w:lvl w:ilvl="0">
      <w:lvlJc w:val="left"/>
      <w:lvlText w:val="%1"/>
      <w:numFmt w:val="decimal"/>
      <w:start w:val="1"/>
    </w:lvl>
    <w:lvl w:ilvl="1">
      <w:lvlJc w:val="left"/>
      <w:lvlText w:val="(%2)"/>
      <w:numFmt w:val="lowerRoman"/>
      <w:start w:val="2"/>
    </w:lvl>
  </w:abstractNum>
  <w:abstractNum w:abstractNumId="29">
    <w:nsid w:val="614FD4A1"/>
    <w:multiLevelType w:val="hybridMultilevel"/>
    <w:lvl w:ilvl="0">
      <w:lvlJc w:val="left"/>
      <w:lvlText w:val="(%1)"/>
      <w:numFmt w:val="decimal"/>
      <w:start w:val="5"/>
    </w:lvl>
    <w:lvl w:ilvl="1">
      <w:lvlJc w:val="left"/>
      <w:lvlText w:val="(%2)"/>
      <w:numFmt w:val="lowerRoman"/>
      <w:start w:val="1"/>
    </w:lvl>
  </w:abstractNum>
  <w:abstractNum w:abstractNumId="30">
    <w:nsid w:val="419AC241"/>
    <w:multiLevelType w:val="hybridMultilevel"/>
    <w:lvl w:ilvl="0">
      <w:lvlJc w:val="left"/>
      <w:lvlText w:val="(%1)"/>
      <w:numFmt w:val="lowerLetter"/>
      <w:start w:val="2"/>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Roman"/>
      <w:start w:val="2"/>
    </w:lvl>
  </w:abstractNum>
  <w:abstractNum w:abstractNumId="33">
    <w:nsid w:val="5072367"/>
    <w:multiLevelType w:val="hybridMultilevel"/>
    <w:lvl w:ilvl="0">
      <w:lvlJc w:val="left"/>
      <w:lvlText w:val="(%1)"/>
      <w:numFmt w:val="lowerLetter"/>
      <w:start w:val="3"/>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lowerRoman"/>
      <w:start w:val="2"/>
    </w:lvl>
  </w:abstractNum>
  <w:abstractNum w:abstractNumId="36">
    <w:nsid w:val="7724C67E"/>
    <w:multiLevelType w:val="hybridMultilevel"/>
    <w:lvl w:ilvl="0">
      <w:lvlJc w:val="left"/>
      <w:lvlText w:val="%1."/>
      <w:numFmt w:val="decimal"/>
      <w:start w:val="8"/>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jpe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48" Type="http://schemas.openxmlformats.org/officeDocument/2006/relationships/hyperlink" Target="https://www.sec.gov/ix?doc=/Archives/edgar/data/1759546/000155837022002265/ride-20211231x10k.htm" TargetMode="External"/><Relationship Id="rId49" Type="http://schemas.openxmlformats.org/officeDocument/2006/relationships/hyperlink" Target="https://www.sec.gov/Archives/edgar/data/1759546/000110465922044325/tm229721-2_def14a.htm" TargetMode="External"/><Relationship Id="rId50" Type="http://schemas.openxmlformats.org/officeDocument/2006/relationships/hyperlink" Target="https://www.sec.gov/ix?doc=/Archives/edgar/data/1759546/000155837022007666/ride-20220331x10q.htm" TargetMode="External"/><Relationship Id="rId51" Type="http://schemas.openxmlformats.org/officeDocument/2006/relationships/hyperlink" Target="https://www.sec.gov/ix?doc=/Archives/edgar/data/1759546/000155837022012069/ride-20220630x10q.htm" TargetMode="External"/><Relationship Id="rId52" Type="http://schemas.openxmlformats.org/officeDocument/2006/relationships/hyperlink" Target="https://www.sec.gov/ix?doc=/Archives/edgar/data/1759546/000110465922061733/tm2215803d3_8k.htm" TargetMode="External"/><Relationship Id="rId53" Type="http://schemas.openxmlformats.org/officeDocument/2006/relationships/hyperlink" Target="https://www.sec.gov/ix?doc=/Archives/edgar/data/1759546/000110465922062952/tm2216027d2_8k.htm" TargetMode="External"/><Relationship Id="rId54" Type="http://schemas.openxmlformats.org/officeDocument/2006/relationships/hyperlink" Target="https://www.sec.gov/ix?doc=/Archives/edgar/data/1759546/000110465922063653/tm2216027d5_8k.htm" TargetMode="External"/><Relationship Id="rId55" Type="http://schemas.openxmlformats.org/officeDocument/2006/relationships/hyperlink" Target="https://www.sec.gov/ix?doc=/Archives/edgar/data/1759546/000110465922066913/tm2217412d1_8ka.htm" TargetMode="External"/><Relationship Id="rId56" Type="http://schemas.openxmlformats.org/officeDocument/2006/relationships/hyperlink" Target="https://www.sec.gov/ix?doc=/Archives/edgar/data/1759546/000155837022010648/ride-20220711x8k.htm" TargetMode="External"/><Relationship Id="rId57" Type="http://schemas.openxmlformats.org/officeDocument/2006/relationships/hyperlink" Target="http://www.sec.gov/ix?doc=/Archives/edgar/data/1759546/000155837022013324/ride-20220810x8k.htm" TargetMode="External"/><Relationship Id="rId58" Type="http://schemas.openxmlformats.org/officeDocument/2006/relationships/hyperlink" Target="https://www.sec.gov/ix?doc=/Archives/edgar/data/1759546/000155837022013793/ride-20220817x8k.htm" TargetMode="External"/><Relationship Id="rId59" Type="http://schemas.openxmlformats.org/officeDocument/2006/relationships/hyperlink" Target="https://www.sec.gov/Archives/edgar/data/1759546/000155837022002265/ride-20211231xex4d1.htm" TargetMode="External"/><Relationship Id="rId65" Type="http://schemas.openxmlformats.org/officeDocument/2006/relationships/hyperlink" Target="https://www.sec.gov/Archives/edgar/data/1759546/000121390020019762/ea124863ex2-1_diamondpeak.htm" TargetMode="External"/><Relationship Id="rId66" Type="http://schemas.openxmlformats.org/officeDocument/2006/relationships/hyperlink" Target="https://www.sec.gov/Archives/edgar/data/1759546/000110465920119279/tm2034197d1_ex3-1.htm" TargetMode="External"/><Relationship Id="rId67" Type="http://schemas.openxmlformats.org/officeDocument/2006/relationships/hyperlink" Target="https://www.sec.gov/Archives/edgar/data/1759546/000110465920119279/tm2034197d1_ex3-2.htm" TargetMode="External"/><Relationship Id="rId68" Type="http://schemas.openxmlformats.org/officeDocument/2006/relationships/hyperlink" Target="https://www.sec.gov/Archives/edgar/data/1759546/000155837022013793/ride-20220817x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2022-08-24T16:47:45Z</dcterms:created>
  <dcterms:modified xsi:type="dcterms:W3CDTF">2022-08-24T16:47:45Z</dcterms:modified>
</cp:coreProperties>
</file>