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608330</wp:posOffset>
            </wp:positionH>
            <wp:positionV relativeFrom="page">
              <wp:posOffset>317500</wp:posOffset>
            </wp:positionV>
            <wp:extent cx="6332220" cy="228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32220" cy="22860"/>
                    </a:xfrm>
                    <a:prstGeom prst="rect">
                      <a:avLst/>
                    </a:prstGeom>
                    <a:noFill/>
                  </pic:spPr>
                </pic:pic>
              </a:graphicData>
            </a:graphic>
          </wp:anchor>
        </w:drawing>
        <w:drawing>
          <wp:anchor simplePos="0" relativeHeight="251657728" behindDoc="1" locked="0" layoutInCell="0" allowOverlap="1">
            <wp:simplePos x="0" y="0"/>
            <wp:positionH relativeFrom="page">
              <wp:posOffset>608330</wp:posOffset>
            </wp:positionH>
            <wp:positionV relativeFrom="page">
              <wp:posOffset>346075</wp:posOffset>
            </wp:positionV>
            <wp:extent cx="633222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32220" cy="5715"/>
                    </a:xfrm>
                    <a:prstGeom prst="rect">
                      <a:avLst/>
                    </a:prstGeom>
                    <a:noFill/>
                  </pic:spPr>
                </pic:pic>
              </a:graphicData>
            </a:graphic>
          </wp:anchor>
        </w:drawing>
        <w:t>UNITED STATES</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1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FORM 8-K</w:t>
      </w:r>
    </w:p>
    <w:p>
      <w:pPr>
        <w:spacing w:after="0" w:line="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CURRENT REPORT</w:t>
      </w:r>
    </w:p>
    <w:p>
      <w:pPr>
        <w:spacing w:after="0" w:line="1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PURSUANT TO SECTION 13 OR 15(d) OF THE</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SECURITIES EXCHANGE ACT OF 1934</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color w:val="auto"/>
        </w:rPr>
        <w:t xml:space="preserve">Date of Report (Date of earliest event reported): </w:t>
      </w:r>
      <w:r>
        <w:rPr>
          <w:rFonts w:ascii="Times New Roman" w:cs="Times New Roman" w:eastAsia="Times New Roman" w:hAnsi="Times New Roman"/>
          <w:sz w:val="12"/>
          <w:szCs w:val="12"/>
          <w:b w:val="1"/>
          <w:bCs w:val="1"/>
          <w:color w:val="auto"/>
        </w:rPr>
        <w:t>August 17, 2022</w:t>
      </w:r>
    </w:p>
    <w:p>
      <w:pPr>
        <w:spacing w:after="0" w:line="1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LORDSTOWN MOTORS CORP.</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p>
      <w:pPr>
        <w:spacing w:after="0" w:line="116" w:lineRule="exact"/>
        <w:rPr>
          <w:sz w:val="24"/>
          <w:szCs w:val="24"/>
          <w:color w:val="auto"/>
        </w:rPr>
      </w:pPr>
    </w:p>
    <w:tbl>
      <w:tblPr>
        <w:tblLayout w:type="fixed"/>
        <w:tblInd w:w="1340" w:type="dxa"/>
        <w:tblCellMar>
          <w:top w:w="0" w:type="dxa"/>
          <w:left w:w="0" w:type="dxa"/>
          <w:bottom w:w="0" w:type="dxa"/>
          <w:right w:w="0" w:type="dxa"/>
        </w:tblCellMar>
      </w:tblPr>
      <w:tr>
        <w:trPr>
          <w:trHeight w:val="148"/>
        </w:trPr>
        <w:tc>
          <w:tcPr>
            <w:tcW w:w="1640" w:type="dxa"/>
            <w:vAlign w:val="bottom"/>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w w:val="98"/>
              </w:rPr>
              <w:t>Delaware</w:t>
            </w:r>
          </w:p>
        </w:tc>
        <w:tc>
          <w:tcPr>
            <w:tcW w:w="4100" w:type="dxa"/>
            <w:vAlign w:val="bottom"/>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w w:val="99"/>
              </w:rPr>
              <w:t>001-38821</w:t>
            </w:r>
          </w:p>
        </w:tc>
        <w:tc>
          <w:tcPr>
            <w:tcW w:w="1360" w:type="dxa"/>
            <w:vAlign w:val="bottom"/>
          </w:tcPr>
          <w:p>
            <w:pPr>
              <w:jc w:val="center"/>
              <w:ind w:left="400"/>
              <w:spacing w:after="0"/>
              <w:rPr>
                <w:sz w:val="20"/>
                <w:szCs w:val="20"/>
                <w:color w:val="auto"/>
              </w:rPr>
            </w:pPr>
            <w:r>
              <w:rPr>
                <w:rFonts w:ascii="Times New Roman" w:cs="Times New Roman" w:eastAsia="Times New Roman" w:hAnsi="Times New Roman"/>
                <w:sz w:val="12"/>
                <w:szCs w:val="12"/>
                <w:b w:val="1"/>
                <w:bCs w:val="1"/>
                <w:color w:val="auto"/>
                <w:w w:val="99"/>
              </w:rPr>
              <w:t>83-2533239</w:t>
            </w:r>
          </w:p>
        </w:tc>
      </w:tr>
      <w:tr>
        <w:trPr>
          <w:trHeight w:val="144"/>
        </w:trPr>
        <w:tc>
          <w:tcPr>
            <w:tcW w:w="1640" w:type="dxa"/>
            <w:vAlign w:val="bottom"/>
          </w:tcPr>
          <w:p>
            <w:pPr>
              <w:jc w:val="center"/>
              <w:ind w:right="320"/>
              <w:spacing w:after="0"/>
              <w:rPr>
                <w:sz w:val="20"/>
                <w:szCs w:val="20"/>
                <w:color w:val="auto"/>
              </w:rPr>
            </w:pPr>
            <w:r>
              <w:rPr>
                <w:rFonts w:ascii="Times New Roman" w:cs="Times New Roman" w:eastAsia="Times New Roman" w:hAnsi="Times New Roman"/>
                <w:sz w:val="12"/>
                <w:szCs w:val="12"/>
                <w:color w:val="auto"/>
                <w:w w:val="99"/>
              </w:rPr>
              <w:t>(State or other jurisdiction</w:t>
            </w:r>
          </w:p>
        </w:tc>
        <w:tc>
          <w:tcPr>
            <w:tcW w:w="4100" w:type="dxa"/>
            <w:vAlign w:val="bottom"/>
          </w:tcPr>
          <w:p>
            <w:pPr>
              <w:jc w:val="center"/>
              <w:ind w:right="40"/>
              <w:spacing w:after="0"/>
              <w:rPr>
                <w:sz w:val="20"/>
                <w:szCs w:val="20"/>
                <w:color w:val="auto"/>
              </w:rPr>
            </w:pPr>
            <w:r>
              <w:rPr>
                <w:rFonts w:ascii="Times New Roman" w:cs="Times New Roman" w:eastAsia="Times New Roman" w:hAnsi="Times New Roman"/>
                <w:sz w:val="12"/>
                <w:szCs w:val="12"/>
                <w:color w:val="auto"/>
                <w:w w:val="98"/>
              </w:rPr>
              <w:t>(Commission</w:t>
            </w:r>
          </w:p>
        </w:tc>
        <w:tc>
          <w:tcPr>
            <w:tcW w:w="1360" w:type="dxa"/>
            <w:vAlign w:val="bottom"/>
          </w:tcPr>
          <w:p>
            <w:pPr>
              <w:jc w:val="center"/>
              <w:ind w:left="400"/>
              <w:spacing w:after="0"/>
              <w:rPr>
                <w:sz w:val="20"/>
                <w:szCs w:val="20"/>
                <w:color w:val="auto"/>
              </w:rPr>
            </w:pPr>
            <w:r>
              <w:rPr>
                <w:rFonts w:ascii="Times New Roman" w:cs="Times New Roman" w:eastAsia="Times New Roman" w:hAnsi="Times New Roman"/>
                <w:sz w:val="12"/>
                <w:szCs w:val="12"/>
                <w:color w:val="auto"/>
              </w:rPr>
              <w:t>(IRS Employer</w:t>
            </w:r>
          </w:p>
        </w:tc>
      </w:tr>
      <w:tr>
        <w:trPr>
          <w:trHeight w:val="155"/>
        </w:trPr>
        <w:tc>
          <w:tcPr>
            <w:tcW w:w="1640" w:type="dxa"/>
            <w:vAlign w:val="bottom"/>
          </w:tcPr>
          <w:p>
            <w:pPr>
              <w:jc w:val="center"/>
              <w:ind w:right="300"/>
              <w:spacing w:after="0"/>
              <w:rPr>
                <w:sz w:val="20"/>
                <w:szCs w:val="20"/>
                <w:color w:val="auto"/>
              </w:rPr>
            </w:pPr>
            <w:r>
              <w:rPr>
                <w:rFonts w:ascii="Times New Roman" w:cs="Times New Roman" w:eastAsia="Times New Roman" w:hAnsi="Times New Roman"/>
                <w:sz w:val="12"/>
                <w:szCs w:val="12"/>
                <w:color w:val="auto"/>
                <w:w w:val="97"/>
              </w:rPr>
              <w:t>of incorporation)</w:t>
            </w:r>
          </w:p>
        </w:tc>
        <w:tc>
          <w:tcPr>
            <w:tcW w:w="4100" w:type="dxa"/>
            <w:vAlign w:val="bottom"/>
          </w:tcPr>
          <w:p>
            <w:pPr>
              <w:jc w:val="center"/>
              <w:ind w:right="40"/>
              <w:spacing w:after="0"/>
              <w:rPr>
                <w:sz w:val="20"/>
                <w:szCs w:val="20"/>
                <w:color w:val="auto"/>
              </w:rPr>
            </w:pPr>
            <w:r>
              <w:rPr>
                <w:rFonts w:ascii="Times New Roman" w:cs="Times New Roman" w:eastAsia="Times New Roman" w:hAnsi="Times New Roman"/>
                <w:sz w:val="12"/>
                <w:szCs w:val="12"/>
                <w:color w:val="auto"/>
                <w:w w:val="98"/>
              </w:rPr>
              <w:t>File Number)</w:t>
            </w:r>
          </w:p>
        </w:tc>
        <w:tc>
          <w:tcPr>
            <w:tcW w:w="1360" w:type="dxa"/>
            <w:vAlign w:val="bottom"/>
          </w:tcPr>
          <w:p>
            <w:pPr>
              <w:jc w:val="center"/>
              <w:ind w:left="400"/>
              <w:spacing w:after="0"/>
              <w:rPr>
                <w:sz w:val="20"/>
                <w:szCs w:val="20"/>
                <w:color w:val="auto"/>
              </w:rPr>
            </w:pPr>
            <w:r>
              <w:rPr>
                <w:rFonts w:ascii="Times New Roman" w:cs="Times New Roman" w:eastAsia="Times New Roman" w:hAnsi="Times New Roman"/>
                <w:sz w:val="12"/>
                <w:szCs w:val="12"/>
                <w:color w:val="auto"/>
              </w:rPr>
              <w:t>Identification No.)</w:t>
            </w:r>
          </w:p>
        </w:tc>
      </w:tr>
      <w:tr>
        <w:trPr>
          <w:trHeight w:val="273"/>
        </w:trPr>
        <w:tc>
          <w:tcPr>
            <w:tcW w:w="1640" w:type="dxa"/>
            <w:vAlign w:val="bottom"/>
          </w:tcPr>
          <w:p>
            <w:pPr>
              <w:spacing w:after="0"/>
              <w:rPr>
                <w:sz w:val="23"/>
                <w:szCs w:val="23"/>
                <w:color w:val="auto"/>
              </w:rPr>
            </w:pPr>
          </w:p>
        </w:tc>
        <w:tc>
          <w:tcPr>
            <w:tcW w:w="4100" w:type="dxa"/>
            <w:vAlign w:val="bottom"/>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w w:val="98"/>
              </w:rPr>
              <w:t>2300 Hallock Young Road</w:t>
            </w:r>
          </w:p>
        </w:tc>
        <w:tc>
          <w:tcPr>
            <w:tcW w:w="1360" w:type="dxa"/>
            <w:vAlign w:val="bottom"/>
          </w:tcPr>
          <w:p>
            <w:pPr>
              <w:spacing w:after="0"/>
              <w:rPr>
                <w:sz w:val="23"/>
                <w:szCs w:val="23"/>
                <w:color w:val="auto"/>
              </w:rPr>
            </w:pPr>
          </w:p>
        </w:tc>
      </w:tr>
      <w:tr>
        <w:trPr>
          <w:trHeight w:val="148"/>
        </w:trPr>
        <w:tc>
          <w:tcPr>
            <w:tcW w:w="1640" w:type="dxa"/>
            <w:vAlign w:val="bottom"/>
          </w:tcPr>
          <w:p>
            <w:pPr>
              <w:spacing w:after="0"/>
              <w:rPr>
                <w:sz w:val="12"/>
                <w:szCs w:val="12"/>
                <w:color w:val="auto"/>
              </w:rPr>
            </w:pPr>
          </w:p>
        </w:tc>
        <w:tc>
          <w:tcPr>
            <w:tcW w:w="4100" w:type="dxa"/>
            <w:vAlign w:val="bottom"/>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w w:val="99"/>
              </w:rPr>
              <w:t>Lordstown, Ohio 44481</w:t>
            </w:r>
          </w:p>
        </w:tc>
        <w:tc>
          <w:tcPr>
            <w:tcW w:w="1360" w:type="dxa"/>
            <w:vAlign w:val="bottom"/>
          </w:tcPr>
          <w:p>
            <w:pPr>
              <w:spacing w:after="0"/>
              <w:rPr>
                <w:sz w:val="12"/>
                <w:szCs w:val="12"/>
                <w:color w:val="auto"/>
              </w:rPr>
            </w:pPr>
          </w:p>
        </w:tc>
      </w:tr>
      <w:tr>
        <w:trPr>
          <w:trHeight w:val="155"/>
        </w:trPr>
        <w:tc>
          <w:tcPr>
            <w:tcW w:w="1640" w:type="dxa"/>
            <w:vAlign w:val="bottom"/>
          </w:tcPr>
          <w:p>
            <w:pPr>
              <w:spacing w:after="0"/>
              <w:rPr>
                <w:sz w:val="13"/>
                <w:szCs w:val="13"/>
                <w:color w:val="auto"/>
              </w:rPr>
            </w:pPr>
          </w:p>
        </w:tc>
        <w:tc>
          <w:tcPr>
            <w:tcW w:w="4100" w:type="dxa"/>
            <w:vAlign w:val="bottom"/>
          </w:tcPr>
          <w:p>
            <w:pPr>
              <w:jc w:val="center"/>
              <w:ind w:right="40"/>
              <w:spacing w:after="0"/>
              <w:rPr>
                <w:sz w:val="20"/>
                <w:szCs w:val="20"/>
                <w:color w:val="auto"/>
              </w:rPr>
            </w:pPr>
            <w:r>
              <w:rPr>
                <w:rFonts w:ascii="Times New Roman" w:cs="Times New Roman" w:eastAsia="Times New Roman" w:hAnsi="Times New Roman"/>
                <w:sz w:val="12"/>
                <w:szCs w:val="12"/>
                <w:color w:val="auto"/>
                <w:w w:val="99"/>
              </w:rPr>
              <w:t>(Address of principal executive offices, including zip code)</w:t>
            </w:r>
          </w:p>
        </w:tc>
        <w:tc>
          <w:tcPr>
            <w:tcW w:w="1360" w:type="dxa"/>
            <w:vAlign w:val="bottom"/>
          </w:tcPr>
          <w:p>
            <w:pPr>
              <w:spacing w:after="0"/>
              <w:rPr>
                <w:sz w:val="13"/>
                <w:szCs w:val="13"/>
                <w:color w:val="auto"/>
              </w:rPr>
            </w:pPr>
          </w:p>
        </w:tc>
      </w:tr>
      <w:tr>
        <w:trPr>
          <w:trHeight w:val="270"/>
        </w:trPr>
        <w:tc>
          <w:tcPr>
            <w:tcW w:w="1640" w:type="dxa"/>
            <w:vAlign w:val="bottom"/>
          </w:tcPr>
          <w:p>
            <w:pPr>
              <w:spacing w:after="0"/>
              <w:rPr>
                <w:sz w:val="23"/>
                <w:szCs w:val="23"/>
                <w:color w:val="auto"/>
              </w:rPr>
            </w:pPr>
          </w:p>
        </w:tc>
        <w:tc>
          <w:tcPr>
            <w:tcW w:w="4100" w:type="dxa"/>
            <w:vAlign w:val="bottom"/>
          </w:tcPr>
          <w:p>
            <w:pPr>
              <w:jc w:val="center"/>
              <w:ind w:right="40"/>
              <w:spacing w:after="0"/>
              <w:rPr>
                <w:sz w:val="20"/>
                <w:szCs w:val="20"/>
                <w:color w:val="auto"/>
              </w:rPr>
            </w:pPr>
            <w:r>
              <w:rPr>
                <w:rFonts w:ascii="Times New Roman" w:cs="Times New Roman" w:eastAsia="Times New Roman" w:hAnsi="Times New Roman"/>
                <w:sz w:val="12"/>
                <w:szCs w:val="12"/>
                <w:color w:val="auto"/>
                <w:w w:val="99"/>
              </w:rPr>
              <w:t xml:space="preserve">Registrant’s telephone number, including area code: </w:t>
            </w:r>
            <w:r>
              <w:rPr>
                <w:rFonts w:ascii="Times New Roman" w:cs="Times New Roman" w:eastAsia="Times New Roman" w:hAnsi="Times New Roman"/>
                <w:sz w:val="12"/>
                <w:szCs w:val="12"/>
                <w:b w:val="1"/>
                <w:bCs w:val="1"/>
                <w:color w:val="auto"/>
                <w:w w:val="99"/>
              </w:rPr>
              <w:t>(234) 285-4001</w:t>
            </w:r>
          </w:p>
        </w:tc>
        <w:tc>
          <w:tcPr>
            <w:tcW w:w="1360" w:type="dxa"/>
            <w:vAlign w:val="bottom"/>
          </w:tcPr>
          <w:p>
            <w:pPr>
              <w:spacing w:after="0"/>
              <w:rPr>
                <w:sz w:val="23"/>
                <w:szCs w:val="23"/>
                <w:color w:val="auto"/>
              </w:rPr>
            </w:pPr>
          </w:p>
        </w:tc>
      </w:tr>
    </w:tbl>
    <w:p>
      <w:pPr>
        <w:spacing w:after="0" w:line="1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N/A</w:t>
      </w:r>
    </w:p>
    <w:p>
      <w:pPr>
        <w:spacing w:after="0" w:line="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(Former name or former address, if changed since last report)</w:t>
      </w:r>
    </w:p>
    <w:p>
      <w:pPr>
        <w:spacing w:after="0" w:line="112" w:lineRule="exact"/>
        <w:rPr>
          <w:sz w:val="24"/>
          <w:szCs w:val="24"/>
          <w:color w:val="auto"/>
        </w:rPr>
      </w:pPr>
    </w:p>
    <w:p>
      <w:pPr>
        <w:ind w:left="220"/>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w:t>
      </w:r>
    </w:p>
    <w:p>
      <w:pPr>
        <w:spacing w:after="0" w:line="141" w:lineRule="exact"/>
        <w:rPr>
          <w:sz w:val="24"/>
          <w:szCs w:val="24"/>
          <w:color w:val="auto"/>
        </w:rPr>
      </w:pPr>
    </w:p>
    <w:p>
      <w:pPr>
        <w:ind w:left="860" w:hanging="431"/>
        <w:spacing w:after="0"/>
        <w:tabs>
          <w:tab w:leader="none" w:pos="86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150" w:lineRule="exact"/>
        <w:rPr>
          <w:rFonts w:ascii="MS PGothic" w:cs="MS PGothic" w:eastAsia="MS PGothic" w:hAnsi="MS PGothic"/>
          <w:sz w:val="12"/>
          <w:szCs w:val="12"/>
          <w:color w:val="auto"/>
        </w:rPr>
      </w:pPr>
    </w:p>
    <w:p>
      <w:pPr>
        <w:ind w:left="860" w:hanging="431"/>
        <w:spacing w:after="0"/>
        <w:tabs>
          <w:tab w:leader="none" w:pos="86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150" w:lineRule="exact"/>
        <w:rPr>
          <w:rFonts w:ascii="MS PGothic" w:cs="MS PGothic" w:eastAsia="MS PGothic" w:hAnsi="MS PGothic"/>
          <w:sz w:val="12"/>
          <w:szCs w:val="12"/>
          <w:color w:val="auto"/>
        </w:rPr>
      </w:pPr>
    </w:p>
    <w:p>
      <w:pPr>
        <w:ind w:left="860" w:hanging="431"/>
        <w:spacing w:after="0"/>
        <w:tabs>
          <w:tab w:leader="none" w:pos="86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150" w:lineRule="exact"/>
        <w:rPr>
          <w:rFonts w:ascii="MS PGothic" w:cs="MS PGothic" w:eastAsia="MS PGothic" w:hAnsi="MS PGothic"/>
          <w:sz w:val="12"/>
          <w:szCs w:val="12"/>
          <w:color w:val="auto"/>
        </w:rPr>
      </w:pPr>
    </w:p>
    <w:p>
      <w:pPr>
        <w:ind w:right="3760" w:firstLine="429"/>
        <w:spacing w:after="0" w:line="481" w:lineRule="auto"/>
        <w:tabs>
          <w:tab w:leader="none" w:pos="864"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4160" w:type="dxa"/>
            <w:vAlign w:val="bottom"/>
            <w:gridSpan w:val="2"/>
          </w:tcPr>
          <w:p>
            <w:pPr>
              <w:jc w:val="right"/>
              <w:ind w:right="1680"/>
              <w:spacing w:after="0"/>
              <w:rPr>
                <w:sz w:val="20"/>
                <w:szCs w:val="20"/>
                <w:color w:val="auto"/>
              </w:rPr>
            </w:pPr>
            <w:r>
              <w:rPr>
                <w:rFonts w:ascii="Times New Roman" w:cs="Times New Roman" w:eastAsia="Times New Roman" w:hAnsi="Times New Roman"/>
                <w:sz w:val="12"/>
                <w:szCs w:val="12"/>
                <w:b w:val="1"/>
                <w:bCs w:val="1"/>
                <w:color w:val="auto"/>
              </w:rPr>
              <w:t>Title of each class</w:t>
            </w:r>
          </w:p>
        </w:tc>
        <w:tc>
          <w:tcPr>
            <w:tcW w:w="218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7"/>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Name of each exchange on which registered</w:t>
            </w:r>
          </w:p>
        </w:tc>
      </w:tr>
      <w:tr>
        <w:trPr>
          <w:trHeight w:val="144"/>
        </w:trPr>
        <w:tc>
          <w:tcPr>
            <w:tcW w:w="20" w:type="dxa"/>
            <w:vAlign w:val="bottom"/>
          </w:tcPr>
          <w:p>
            <w:pPr>
              <w:spacing w:after="0"/>
              <w:rPr>
                <w:sz w:val="12"/>
                <w:szCs w:val="12"/>
                <w:color w:val="auto"/>
              </w:rPr>
            </w:pPr>
          </w:p>
        </w:tc>
        <w:tc>
          <w:tcPr>
            <w:tcW w:w="4060" w:type="dxa"/>
            <w:vAlign w:val="bottom"/>
            <w:tcBorders>
              <w:top w:val="single" w:sz="8" w:color="auto"/>
            </w:tcBorders>
          </w:tcPr>
          <w:p>
            <w:pPr>
              <w:jc w:val="right"/>
              <w:ind w:right="1540"/>
              <w:spacing w:after="0"/>
              <w:rPr>
                <w:sz w:val="20"/>
                <w:szCs w:val="20"/>
                <w:color w:val="auto"/>
              </w:rPr>
            </w:pPr>
            <w:r>
              <w:rPr>
                <w:rFonts w:ascii="Times New Roman" w:cs="Times New Roman" w:eastAsia="Times New Roman" w:hAnsi="Times New Roman"/>
                <w:sz w:val="12"/>
                <w:szCs w:val="12"/>
                <w:color w:val="auto"/>
                <w:w w:val="97"/>
              </w:rPr>
              <w:t>Class A common stock, par value $0.0001 per share</w:t>
            </w:r>
          </w:p>
        </w:tc>
        <w:tc>
          <w:tcPr>
            <w:tcW w:w="100" w:type="dxa"/>
            <w:vAlign w:val="bottom"/>
          </w:tcPr>
          <w:p>
            <w:pPr>
              <w:spacing w:after="0"/>
              <w:rPr>
                <w:sz w:val="12"/>
                <w:szCs w:val="12"/>
                <w:color w:val="auto"/>
              </w:rPr>
            </w:pPr>
          </w:p>
        </w:tc>
        <w:tc>
          <w:tcPr>
            <w:tcW w:w="2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RIDE</w:t>
            </w:r>
          </w:p>
        </w:tc>
        <w:tc>
          <w:tcPr>
            <w:tcW w:w="100" w:type="dxa"/>
            <w:vAlign w:val="bottom"/>
          </w:tcPr>
          <w:p>
            <w:pPr>
              <w:spacing w:after="0"/>
              <w:rPr>
                <w:sz w:val="12"/>
                <w:szCs w:val="12"/>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The Nasdaq Stock Market LLC</w:t>
            </w:r>
          </w:p>
        </w:tc>
      </w:tr>
    </w:tbl>
    <w:p>
      <w:pPr>
        <w:spacing w:after="0" w:line="140" w:lineRule="exact"/>
        <w:rPr>
          <w:sz w:val="24"/>
          <w:szCs w:val="24"/>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9" w:lineRule="exact"/>
        <w:rPr>
          <w:sz w:val="24"/>
          <w:szCs w:val="24"/>
          <w:color w:val="auto"/>
        </w:rPr>
      </w:pPr>
    </w:p>
    <w:p>
      <w:pPr>
        <w:ind w:left="8520"/>
        <w:spacing w:after="0" w:line="127" w:lineRule="exact"/>
        <w:rPr>
          <w:sz w:val="20"/>
          <w:szCs w:val="20"/>
          <w:color w:val="auto"/>
        </w:rPr>
      </w:pPr>
      <w:r>
        <w:rPr>
          <w:rFonts w:ascii="Times New Roman" w:cs="Times New Roman" w:eastAsia="Times New Roman" w:hAnsi="Times New Roman"/>
          <w:sz w:val="11"/>
          <w:szCs w:val="11"/>
          <w:color w:val="auto"/>
        </w:rPr>
        <w:t xml:space="preserve">Emerging growth company </w:t>
      </w:r>
      <w:r>
        <w:rPr>
          <w:rFonts w:ascii="MS PGothic" w:cs="MS PGothic" w:eastAsia="MS PGothic" w:hAnsi="MS PGothic"/>
          <w:sz w:val="11"/>
          <w:szCs w:val="11"/>
          <w:color w:val="211D1E"/>
        </w:rPr>
        <w:t>☐</w:t>
      </w:r>
    </w:p>
    <w:p>
      <w:pPr>
        <w:spacing w:after="0" w:line="155" w:lineRule="exact"/>
        <w:rPr>
          <w:sz w:val="24"/>
          <w:szCs w:val="24"/>
          <w:color w:val="auto"/>
        </w:rPr>
      </w:pPr>
    </w:p>
    <w:p>
      <w:pPr>
        <w:jc w:val="both"/>
        <w:ind w:right="20" w:firstLine="432"/>
        <w:spacing w:after="0" w:line="156" w:lineRule="exact"/>
        <w:rPr>
          <w:sz w:val="20"/>
          <w:szCs w:val="20"/>
          <w:color w:val="auto"/>
        </w:rPr>
      </w:pPr>
      <w:r>
        <w:rPr>
          <w:rFonts w:ascii="Times New Roman" w:cs="Times New Roman" w:eastAsia="Times New Roman" w:hAnsi="Times New Roman"/>
          <w:sz w:val="12"/>
          <w:szCs w:val="12"/>
          <w:color w:val="211D1E"/>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211D1E"/>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506730</wp:posOffset>
            </wp:positionV>
            <wp:extent cx="63322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332220" cy="1714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106680</wp:posOffset>
            </wp:positionV>
            <wp:extent cx="6332220" cy="228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332220" cy="2286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95250</wp:posOffset>
            </wp:positionV>
            <wp:extent cx="633222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332220" cy="5715"/>
                    </a:xfrm>
                    <a:prstGeom prst="rect">
                      <a:avLst/>
                    </a:prstGeom>
                    <a:noFill/>
                  </pic:spPr>
                </pic:pic>
              </a:graphicData>
            </a:graphic>
          </wp:anchor>
        </w:drawing>
      </w:r>
    </w:p>
    <w:p>
      <w:pPr>
        <w:sectPr>
          <w:pgSz w:w="11900" w:h="16838" w:orient="portrait"/>
          <w:cols w:equalWidth="0" w:num="1">
            <w:col w:w="9980"/>
          </w:cols>
          <w:pgMar w:left="960" w:top="701" w:right="959" w:bottom="1440" w:gutter="0" w:footer="0" w:header="0"/>
        </w:sectPr>
      </w:pPr>
    </w:p>
    <w:bookmarkStart w:id="1" w:name="page2"/>
    <w:bookmarkEnd w:id="1"/>
    <w:p>
      <w:pPr>
        <w:ind w:left="20"/>
        <w:spacing w:after="0"/>
        <w:tabs>
          <w:tab w:leader="none" w:pos="2480" w:val="left"/>
        </w:tabs>
        <w:rPr>
          <w:sz w:val="20"/>
          <w:szCs w:val="20"/>
          <w:color w:val="auto"/>
        </w:rPr>
      </w:pPr>
      <w:r>
        <w:rPr>
          <w:rFonts w:ascii="Times New Roman" w:cs="Times New Roman" w:eastAsia="Times New Roman" w:hAnsi="Times New Roman"/>
          <w:sz w:val="12"/>
          <w:szCs w:val="12"/>
          <w:b w:val="1"/>
          <w:bCs w:val="1"/>
          <w:color w:val="auto"/>
        </w:rPr>
        <w:t>Item 5.03</w:t>
      </w:r>
      <w:r>
        <w:rPr>
          <w:sz w:val="20"/>
          <w:szCs w:val="20"/>
          <w:color w:val="auto"/>
        </w:rPr>
        <w:tab/>
      </w:r>
      <w:r>
        <w:rPr>
          <w:rFonts w:ascii="Times New Roman" w:cs="Times New Roman" w:eastAsia="Times New Roman" w:hAnsi="Times New Roman"/>
          <w:sz w:val="11"/>
          <w:szCs w:val="11"/>
          <w:b w:val="1"/>
          <w:bCs w:val="1"/>
          <w:color w:val="auto"/>
        </w:rPr>
        <w:t>Amendments to Articles of Incorporation or Bylaws; Change in Fiscal Year</w:t>
      </w:r>
    </w:p>
    <w:p>
      <w:pPr>
        <w:spacing w:after="0" w:line="298" w:lineRule="exact"/>
        <w:rPr>
          <w:sz w:val="20"/>
          <w:szCs w:val="20"/>
          <w:color w:val="auto"/>
        </w:rPr>
      </w:pPr>
    </w:p>
    <w:p>
      <w:pPr>
        <w:ind w:left="40" w:right="59"/>
        <w:spacing w:after="0" w:line="279" w:lineRule="auto"/>
        <w:rPr>
          <w:sz w:val="20"/>
          <w:szCs w:val="20"/>
          <w:color w:val="auto"/>
        </w:rPr>
      </w:pPr>
      <w:r>
        <w:rPr>
          <w:rFonts w:ascii="Times New Roman" w:cs="Times New Roman" w:eastAsia="Times New Roman" w:hAnsi="Times New Roman"/>
          <w:sz w:val="12"/>
          <w:szCs w:val="12"/>
          <w:color w:val="auto"/>
        </w:rPr>
        <w:t>On August 18, 2022, Lordstown Motors Corp. (the “Company”) amended its Second Amended and Restated Certificate of Incorporation, as amended (the “Certificate of Incorporation”), to increase the total number of authorized shares of the Company’s Class A common stock from 300,000,000 shares to 450,000,000 shares (the “Charter Amendment”).</w:t>
      </w:r>
    </w:p>
    <w:p>
      <w:pPr>
        <w:spacing w:after="0" w:line="111" w:lineRule="exact"/>
        <w:rPr>
          <w:sz w:val="20"/>
          <w:szCs w:val="20"/>
          <w:color w:val="auto"/>
        </w:rPr>
      </w:pPr>
    </w:p>
    <w:p>
      <w:pPr>
        <w:ind w:left="40" w:right="199"/>
        <w:spacing w:after="0" w:line="279" w:lineRule="auto"/>
        <w:rPr>
          <w:sz w:val="20"/>
          <w:szCs w:val="20"/>
          <w:color w:val="auto"/>
        </w:rPr>
      </w:pPr>
      <w:r>
        <w:rPr>
          <w:rFonts w:ascii="Times New Roman" w:cs="Times New Roman" w:eastAsia="Times New Roman" w:hAnsi="Times New Roman"/>
          <w:sz w:val="12"/>
          <w:szCs w:val="12"/>
          <w:color w:val="auto"/>
        </w:rPr>
        <w:t>The Charter Amendment was previously approved by the Company’s Board of Directors, subject to stockholder approval, and approved by the Company’s stockholders of record as of June 30, 2022 (the “Stockholders”) at the Special Meeting of Stockholders held on August 17, 2022 (the “Special Meeting”), as further described in Item 5.07 below.</w:t>
      </w:r>
    </w:p>
    <w:p>
      <w:pPr>
        <w:spacing w:after="0" w:line="111" w:lineRule="exact"/>
        <w:rPr>
          <w:sz w:val="20"/>
          <w:szCs w:val="20"/>
          <w:color w:val="auto"/>
        </w:rPr>
      </w:pPr>
    </w:p>
    <w:p>
      <w:pPr>
        <w:ind w:left="40" w:right="279"/>
        <w:spacing w:after="0" w:line="279" w:lineRule="auto"/>
        <w:rPr>
          <w:sz w:val="20"/>
          <w:szCs w:val="20"/>
          <w:color w:val="auto"/>
        </w:rPr>
      </w:pPr>
      <w:r>
        <w:rPr>
          <w:rFonts w:ascii="Times New Roman" w:cs="Times New Roman" w:eastAsia="Times New Roman" w:hAnsi="Times New Roman"/>
          <w:sz w:val="12"/>
          <w:szCs w:val="12"/>
          <w:color w:val="auto"/>
        </w:rPr>
        <w:t>The foregoing description of the Charter Amendment does not purport to be complete and is qualified in its entirety by reference to the full text of the Charter Amendment, a copy of which is filed as Exhibit 3.1 to this Current Report on Form 8-K and incorporated by reference herein.</w:t>
      </w:r>
    </w:p>
    <w:p>
      <w:pPr>
        <w:spacing w:after="0" w:line="107" w:lineRule="exact"/>
        <w:rPr>
          <w:sz w:val="20"/>
          <w:szCs w:val="20"/>
          <w:color w:val="auto"/>
        </w:rPr>
      </w:pPr>
    </w:p>
    <w:p>
      <w:pPr>
        <w:ind w:left="20"/>
        <w:spacing w:after="0"/>
        <w:tabs>
          <w:tab w:leader="none" w:pos="1320" w:val="left"/>
        </w:tabs>
        <w:rPr>
          <w:sz w:val="20"/>
          <w:szCs w:val="20"/>
          <w:color w:val="auto"/>
        </w:rPr>
      </w:pPr>
      <w:r>
        <w:rPr>
          <w:rFonts w:ascii="Times New Roman" w:cs="Times New Roman" w:eastAsia="Times New Roman" w:hAnsi="Times New Roman"/>
          <w:sz w:val="12"/>
          <w:szCs w:val="12"/>
          <w:b w:val="1"/>
          <w:bCs w:val="1"/>
          <w:color w:val="auto"/>
        </w:rPr>
        <w:t>Item 5.07.</w:t>
      </w:r>
      <w:r>
        <w:rPr>
          <w:sz w:val="20"/>
          <w:szCs w:val="20"/>
          <w:color w:val="auto"/>
        </w:rPr>
        <w:tab/>
      </w:r>
      <w:r>
        <w:rPr>
          <w:rFonts w:ascii="Times New Roman" w:cs="Times New Roman" w:eastAsia="Times New Roman" w:hAnsi="Times New Roman"/>
          <w:sz w:val="11"/>
          <w:szCs w:val="11"/>
          <w:b w:val="1"/>
          <w:bCs w:val="1"/>
          <w:color w:val="auto"/>
        </w:rPr>
        <w:t>Submission of Matters to a Vote of Security Holders.</w:t>
      </w:r>
    </w:p>
    <w:p>
      <w:pPr>
        <w:spacing w:after="0" w:line="1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2"/>
          <w:szCs w:val="12"/>
          <w:color w:val="auto"/>
        </w:rPr>
        <w:t>At the Special Meeting, the Stockholders voted as follows on the proposal to approve the Charter Amendment:</w:t>
      </w:r>
    </w:p>
    <w:p>
      <w:pPr>
        <w:spacing w:after="0" w:line="164" w:lineRule="exact"/>
        <w:rPr>
          <w:sz w:val="20"/>
          <w:szCs w:val="20"/>
          <w:color w:val="auto"/>
        </w:rPr>
      </w:pPr>
    </w:p>
    <w:tbl>
      <w:tblPr>
        <w:tblLayout w:type="fixed"/>
        <w:tblInd w:w="20" w:type="dxa"/>
        <w:tblCellMar>
          <w:top w:w="0" w:type="dxa"/>
          <w:left w:w="0" w:type="dxa"/>
          <w:bottom w:w="0" w:type="dxa"/>
          <w:right w:w="0" w:type="dxa"/>
        </w:tblCellMar>
      </w:tblPr>
      <w:tr>
        <w:trPr>
          <w:trHeight w:val="144"/>
        </w:trPr>
        <w:tc>
          <w:tcPr>
            <w:tcW w:w="2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480" w:type="dxa"/>
            <w:vAlign w:val="bottom"/>
          </w:tcPr>
          <w:p>
            <w:pPr>
              <w:jc w:val="center"/>
              <w:ind w:left="380"/>
              <w:spacing w:after="0"/>
              <w:rPr>
                <w:sz w:val="20"/>
                <w:szCs w:val="20"/>
                <w:color w:val="auto"/>
              </w:rPr>
            </w:pPr>
            <w:r>
              <w:rPr>
                <w:rFonts w:ascii="Times New Roman" w:cs="Times New Roman" w:eastAsia="Times New Roman" w:hAnsi="Times New Roman"/>
                <w:sz w:val="12"/>
                <w:szCs w:val="12"/>
                <w:b w:val="1"/>
                <w:bCs w:val="1"/>
                <w:color w:val="auto"/>
                <w:w w:val="98"/>
              </w:rPr>
              <w:t>Broker</w:t>
            </w:r>
          </w:p>
        </w:tc>
      </w:tr>
      <w:tr>
        <w:trPr>
          <w:trHeight w:val="163"/>
        </w:trPr>
        <w:tc>
          <w:tcPr>
            <w:tcW w:w="2200" w:type="dxa"/>
            <w:vAlign w:val="bottom"/>
            <w:tcBorders>
              <w:bottom w:val="single" w:sz="8" w:color="auto"/>
            </w:tcBorders>
          </w:tcPr>
          <w:p>
            <w:pPr>
              <w:jc w:val="right"/>
              <w:ind w:right="1200"/>
              <w:spacing w:after="0"/>
              <w:rPr>
                <w:sz w:val="20"/>
                <w:szCs w:val="20"/>
                <w:color w:val="auto"/>
              </w:rPr>
            </w:pPr>
            <w:r>
              <w:rPr>
                <w:rFonts w:ascii="Times New Roman" w:cs="Times New Roman" w:eastAsia="Times New Roman" w:hAnsi="Times New Roman"/>
                <w:sz w:val="12"/>
                <w:szCs w:val="12"/>
                <w:b w:val="1"/>
                <w:bCs w:val="1"/>
                <w:color w:val="auto"/>
              </w:rPr>
              <w:t>Votes For</w:t>
            </w:r>
          </w:p>
        </w:tc>
        <w:tc>
          <w:tcPr>
            <w:tcW w:w="102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tcPr>
          <w:p>
            <w:pPr>
              <w:jc w:val="right"/>
              <w:ind w:right="1420"/>
              <w:spacing w:after="0"/>
              <w:rPr>
                <w:sz w:val="20"/>
                <w:szCs w:val="20"/>
                <w:color w:val="auto"/>
              </w:rPr>
            </w:pPr>
            <w:r>
              <w:rPr>
                <w:rFonts w:ascii="Times New Roman" w:cs="Times New Roman" w:eastAsia="Times New Roman" w:hAnsi="Times New Roman"/>
                <w:sz w:val="12"/>
                <w:szCs w:val="12"/>
                <w:b w:val="1"/>
                <w:bCs w:val="1"/>
                <w:color w:val="auto"/>
              </w:rPr>
              <w:t>Votes Against</w:t>
            </w:r>
          </w:p>
        </w:tc>
        <w:tc>
          <w:tcPr>
            <w:tcW w:w="146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2"/>
                <w:szCs w:val="12"/>
                <w:b w:val="1"/>
                <w:bCs w:val="1"/>
                <w:color w:val="auto"/>
              </w:rPr>
              <w:t>Abstentions</w:t>
            </w:r>
          </w:p>
        </w:tc>
        <w:tc>
          <w:tcPr>
            <w:tcW w:w="1480" w:type="dxa"/>
            <w:vAlign w:val="bottom"/>
            <w:tcBorders>
              <w:bottom w:val="single" w:sz="8" w:color="auto"/>
            </w:tcBorders>
          </w:tcPr>
          <w:p>
            <w:pPr>
              <w:jc w:val="center"/>
              <w:ind w:left="380"/>
              <w:spacing w:after="0"/>
              <w:rPr>
                <w:sz w:val="20"/>
                <w:szCs w:val="20"/>
                <w:color w:val="auto"/>
              </w:rPr>
            </w:pPr>
            <w:r>
              <w:rPr>
                <w:rFonts w:ascii="Times New Roman" w:cs="Times New Roman" w:eastAsia="Times New Roman" w:hAnsi="Times New Roman"/>
                <w:sz w:val="12"/>
                <w:szCs w:val="12"/>
                <w:b w:val="1"/>
                <w:bCs w:val="1"/>
                <w:color w:val="auto"/>
                <w:w w:val="96"/>
              </w:rPr>
              <w:t>Non-Votes</w:t>
            </w:r>
          </w:p>
        </w:tc>
      </w:tr>
      <w:tr>
        <w:trPr>
          <w:trHeight w:val="138"/>
        </w:trPr>
        <w:tc>
          <w:tcPr>
            <w:tcW w:w="2200" w:type="dxa"/>
            <w:vAlign w:val="bottom"/>
            <w:shd w:val="clear" w:color="auto" w:fill="CCEEFF"/>
          </w:tcPr>
          <w:p>
            <w:pPr>
              <w:jc w:val="right"/>
              <w:ind w:right="780"/>
              <w:spacing w:after="0"/>
              <w:rPr>
                <w:sz w:val="20"/>
                <w:szCs w:val="20"/>
                <w:color w:val="auto"/>
              </w:rPr>
            </w:pPr>
            <w:r>
              <w:rPr>
                <w:rFonts w:ascii="Times New Roman" w:cs="Times New Roman" w:eastAsia="Times New Roman" w:hAnsi="Times New Roman"/>
                <w:sz w:val="12"/>
                <w:szCs w:val="12"/>
                <w:color w:val="auto"/>
              </w:rPr>
              <w:t>117,728,241</w:t>
            </w: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7,385,445</w:t>
            </w:r>
          </w:p>
        </w:tc>
        <w:tc>
          <w:tcPr>
            <w:tcW w:w="232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374,886</w:t>
            </w:r>
          </w:p>
        </w:tc>
        <w:tc>
          <w:tcPr>
            <w:tcW w:w="1460" w:type="dxa"/>
            <w:vAlign w:val="bottom"/>
            <w:shd w:val="clear" w:color="auto" w:fill="CCEEFF"/>
          </w:tcPr>
          <w:p>
            <w:pPr>
              <w:spacing w:after="0"/>
              <w:rPr>
                <w:sz w:val="11"/>
                <w:szCs w:val="11"/>
                <w:color w:val="auto"/>
              </w:rPr>
            </w:pPr>
          </w:p>
        </w:tc>
        <w:tc>
          <w:tcPr>
            <w:tcW w:w="1480" w:type="dxa"/>
            <w:vAlign w:val="bottom"/>
            <w:shd w:val="clear" w:color="auto" w:fill="CCEEFF"/>
          </w:tcPr>
          <w:p>
            <w:pPr>
              <w:jc w:val="right"/>
              <w:ind w:right="800"/>
              <w:spacing w:after="0"/>
              <w:rPr>
                <w:sz w:val="20"/>
                <w:szCs w:val="20"/>
                <w:color w:val="auto"/>
              </w:rPr>
            </w:pPr>
            <w:r>
              <w:rPr>
                <w:rFonts w:ascii="Times New Roman" w:cs="Times New Roman" w:eastAsia="Times New Roman" w:hAnsi="Times New Roman"/>
                <w:sz w:val="12"/>
                <w:szCs w:val="12"/>
                <w:color w:val="auto"/>
              </w:rPr>
              <w:t>0</w:t>
            </w:r>
          </w:p>
        </w:tc>
      </w:tr>
    </w:tbl>
    <w:p>
      <w:pPr>
        <w:spacing w:after="0" w:line="27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2"/>
          <w:szCs w:val="12"/>
          <w:color w:val="auto"/>
        </w:rPr>
        <w:t>The proposal is described in detail in the Company’s Definitive Proxy Statement filed on July 7, 2022 for the Special Meeting.</w:t>
      </w:r>
    </w:p>
    <w:p>
      <w:pPr>
        <w:spacing w:after="0" w:line="299" w:lineRule="exact"/>
        <w:rPr>
          <w:sz w:val="20"/>
          <w:szCs w:val="20"/>
          <w:color w:val="auto"/>
        </w:rPr>
      </w:pPr>
    </w:p>
    <w:tbl>
      <w:tblPr>
        <w:tblLayout w:type="fixed"/>
        <w:tblInd w:w="2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68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Item 9.01</w:t>
            </w:r>
          </w:p>
        </w:tc>
        <w:tc>
          <w:tcPr>
            <w:tcW w:w="20" w:type="dxa"/>
            <w:vAlign w:val="bottom"/>
          </w:tcPr>
          <w:p>
            <w:pPr>
              <w:spacing w:after="0"/>
              <w:rPr>
                <w:sz w:val="13"/>
                <w:szCs w:val="13"/>
                <w:color w:val="auto"/>
              </w:rPr>
            </w:pPr>
          </w:p>
        </w:tc>
        <w:tc>
          <w:tcPr>
            <w:tcW w:w="8240" w:type="dxa"/>
            <w:vAlign w:val="bottom"/>
            <w:gridSpan w:val="2"/>
          </w:tcPr>
          <w:p>
            <w:pPr>
              <w:ind w:left="620"/>
              <w:spacing w:after="0"/>
              <w:rPr>
                <w:sz w:val="20"/>
                <w:szCs w:val="20"/>
                <w:color w:val="auto"/>
              </w:rPr>
            </w:pPr>
            <w:r>
              <w:rPr>
                <w:rFonts w:ascii="Times New Roman" w:cs="Times New Roman" w:eastAsia="Times New Roman" w:hAnsi="Times New Roman"/>
                <w:sz w:val="12"/>
                <w:szCs w:val="12"/>
                <w:b w:val="1"/>
                <w:bCs w:val="1"/>
                <w:color w:val="auto"/>
              </w:rPr>
              <w:t>Financial Statements and Exhibits.</w:t>
            </w:r>
          </w:p>
        </w:tc>
      </w:tr>
      <w:tr>
        <w:trPr>
          <w:trHeight w:val="432"/>
        </w:trPr>
        <w:tc>
          <w:tcPr>
            <w:tcW w:w="70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(d) Exhibits.</w:t>
            </w:r>
          </w:p>
        </w:tc>
        <w:tc>
          <w:tcPr>
            <w:tcW w:w="2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2640" w:type="dxa"/>
            <w:vAlign w:val="bottom"/>
          </w:tcPr>
          <w:p>
            <w:pPr>
              <w:spacing w:after="0"/>
              <w:rPr>
                <w:sz w:val="24"/>
                <w:szCs w:val="24"/>
                <w:color w:val="auto"/>
              </w:rPr>
            </w:pPr>
          </w:p>
        </w:tc>
      </w:tr>
      <w:tr>
        <w:trPr>
          <w:trHeight w:val="273"/>
        </w:trPr>
        <w:tc>
          <w:tcPr>
            <w:tcW w:w="70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Exhibit</w:t>
            </w:r>
          </w:p>
        </w:tc>
        <w:tc>
          <w:tcPr>
            <w:tcW w:w="20" w:type="dxa"/>
            <w:vAlign w:val="bottom"/>
          </w:tcPr>
          <w:p>
            <w:pPr>
              <w:spacing w:after="0"/>
              <w:rPr>
                <w:sz w:val="23"/>
                <w:szCs w:val="23"/>
                <w:color w:val="auto"/>
              </w:rPr>
            </w:pPr>
          </w:p>
        </w:tc>
        <w:tc>
          <w:tcPr>
            <w:tcW w:w="5600" w:type="dxa"/>
            <w:vAlign w:val="bottom"/>
          </w:tcPr>
          <w:p>
            <w:pPr>
              <w:spacing w:after="0"/>
              <w:rPr>
                <w:sz w:val="23"/>
                <w:szCs w:val="23"/>
                <w:color w:val="auto"/>
              </w:rPr>
            </w:pPr>
          </w:p>
        </w:tc>
        <w:tc>
          <w:tcPr>
            <w:tcW w:w="2640" w:type="dxa"/>
            <w:vAlign w:val="bottom"/>
          </w:tcPr>
          <w:p>
            <w:pPr>
              <w:spacing w:after="0"/>
              <w:rPr>
                <w:sz w:val="23"/>
                <w:szCs w:val="23"/>
                <w:color w:val="auto"/>
              </w:rPr>
            </w:pPr>
          </w:p>
        </w:tc>
      </w:tr>
      <w:tr>
        <w:trPr>
          <w:trHeight w:val="159"/>
        </w:trPr>
        <w:tc>
          <w:tcPr>
            <w:tcW w:w="70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Number</w:t>
            </w:r>
          </w:p>
        </w:tc>
        <w:tc>
          <w:tcPr>
            <w:tcW w:w="20" w:type="dxa"/>
            <w:vAlign w:val="bottom"/>
          </w:tcPr>
          <w:p>
            <w:pPr>
              <w:spacing w:after="0"/>
              <w:rPr>
                <w:sz w:val="13"/>
                <w:szCs w:val="13"/>
                <w:color w:val="auto"/>
              </w:rPr>
            </w:pPr>
          </w:p>
        </w:tc>
        <w:tc>
          <w:tcPr>
            <w:tcW w:w="824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Description</w:t>
            </w:r>
          </w:p>
        </w:tc>
      </w:tr>
      <w:tr>
        <w:trPr>
          <w:trHeight w:val="115"/>
        </w:trPr>
        <w:tc>
          <w:tcPr>
            <w:tcW w:w="20" w:type="dxa"/>
            <w:vAlign w:val="bottom"/>
          </w:tcPr>
          <w:p>
            <w:pPr>
              <w:spacing w:after="0"/>
              <w:rPr>
                <w:sz w:val="10"/>
                <w:szCs w:val="10"/>
                <w:color w:val="auto"/>
              </w:rPr>
            </w:pPr>
          </w:p>
        </w:tc>
        <w:tc>
          <w:tcPr>
            <w:tcW w:w="520" w:type="dxa"/>
            <w:vAlign w:val="bottom"/>
            <w:tcBorders>
              <w:top w:val="single" w:sz="8" w:color="auto"/>
            </w:tcBorders>
          </w:tcPr>
          <w:p>
            <w:pPr>
              <w:spacing w:after="0" w:line="115" w:lineRule="exact"/>
              <w:rPr>
                <w:sz w:val="20"/>
                <w:szCs w:val="20"/>
                <w:color w:val="auto"/>
              </w:rPr>
            </w:pPr>
            <w:r>
              <w:rPr>
                <w:rFonts w:ascii="Times New Roman" w:cs="Times New Roman" w:eastAsia="Times New Roman" w:hAnsi="Times New Roman"/>
                <w:sz w:val="12"/>
                <w:szCs w:val="12"/>
                <w:color w:val="auto"/>
              </w:rPr>
              <w:t>3.1</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240" w:type="dxa"/>
            <w:vAlign w:val="bottom"/>
            <w:tcBorders>
              <w:top w:val="single" w:sz="8" w:color="auto"/>
            </w:tcBorders>
            <w:gridSpan w:val="2"/>
          </w:tcPr>
          <w:p>
            <w:pPr>
              <w:spacing w:after="0" w:line="115" w:lineRule="exact"/>
              <w:rPr>
                <w:sz w:val="20"/>
                <w:szCs w:val="20"/>
                <w:color w:val="auto"/>
              </w:rPr>
            </w:pPr>
            <w:r>
              <w:rPr>
                <w:rFonts w:ascii="Times New Roman" w:cs="Times New Roman" w:eastAsia="Times New Roman" w:hAnsi="Times New Roman"/>
                <w:sz w:val="12"/>
                <w:szCs w:val="12"/>
                <w:color w:val="0000EE"/>
              </w:rPr>
              <w:t>Certificate of Amendment of Second Amended and Restated Certificate of Incorporation of Lordstown Motors Corp.</w:t>
            </w:r>
          </w:p>
        </w:tc>
      </w:tr>
      <w:tr>
        <w:trPr>
          <w:trHeight w:val="151"/>
        </w:trPr>
        <w:tc>
          <w:tcPr>
            <w:tcW w:w="5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104</w:t>
            </w:r>
          </w:p>
        </w:tc>
        <w:tc>
          <w:tcPr>
            <w:tcW w:w="160" w:type="dxa"/>
            <w:vAlign w:val="bottom"/>
          </w:tcPr>
          <w:p>
            <w:pPr>
              <w:spacing w:after="0"/>
              <w:rPr>
                <w:sz w:val="13"/>
                <w:szCs w:val="13"/>
                <w:color w:val="auto"/>
              </w:rPr>
            </w:pPr>
          </w:p>
        </w:tc>
        <w:tc>
          <w:tcPr>
            <w:tcW w:w="562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2"/>
                <w:szCs w:val="12"/>
                <w:color w:val="auto"/>
              </w:rPr>
              <w:t>Cover Page Interactive Data File (formatted as inline XBRL)</w:t>
            </w:r>
          </w:p>
        </w:tc>
        <w:tc>
          <w:tcPr>
            <w:tcW w:w="2640" w:type="dxa"/>
            <w:vAlign w:val="bottom"/>
          </w:tcPr>
          <w:p>
            <w:pPr>
              <w:spacing w:after="0"/>
              <w:rPr>
                <w:sz w:val="13"/>
                <w:szCs w:val="13"/>
                <w:color w:val="auto"/>
              </w:rPr>
            </w:pPr>
          </w:p>
        </w:tc>
      </w:tr>
      <w:tr>
        <w:trPr>
          <w:trHeight w:val="2824"/>
        </w:trPr>
        <w:tc>
          <w:tcPr>
            <w:tcW w:w="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87"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SIGNATURES</w:t>
      </w:r>
    </w:p>
    <w:p>
      <w:pPr>
        <w:spacing w:after="0" w:line="1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32"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3"/>
          <w:szCs w:val="13"/>
          <w:b w:val="1"/>
          <w:bCs w:val="1"/>
          <w:color w:val="auto"/>
        </w:rPr>
        <w:t>LORDSTOWN MOTORS CORP.</w:t>
      </w:r>
    </w:p>
    <w:p>
      <w:pPr>
        <w:spacing w:after="0" w:line="200" w:lineRule="exact"/>
        <w:rPr>
          <w:sz w:val="20"/>
          <w:szCs w:val="20"/>
          <w:color w:val="auto"/>
        </w:rPr>
      </w:pPr>
    </w:p>
    <w:p>
      <w:pPr>
        <w:spacing w:after="0" w:line="265" w:lineRule="exact"/>
        <w:rPr>
          <w:sz w:val="20"/>
          <w:szCs w:val="20"/>
          <w:color w:val="auto"/>
        </w:rPr>
      </w:pPr>
    </w:p>
    <w:tbl>
      <w:tblPr>
        <w:tblLayout w:type="fixed"/>
        <w:tblInd w:w="4480" w:type="dxa"/>
        <w:tblCellMar>
          <w:top w:w="0" w:type="dxa"/>
          <w:left w:w="0" w:type="dxa"/>
          <w:bottom w:w="0" w:type="dxa"/>
          <w:right w:w="0" w:type="dxa"/>
        </w:tblCellMar>
      </w:tblPr>
      <w:tr>
        <w:trPr>
          <w:trHeight w:val="157"/>
        </w:trPr>
        <w:tc>
          <w:tcPr>
            <w:tcW w:w="440" w:type="dxa"/>
            <w:vAlign w:val="bottom"/>
          </w:tcPr>
          <w:p>
            <w:pPr>
              <w:spacing w:after="0"/>
              <w:rPr>
                <w:sz w:val="20"/>
                <w:szCs w:val="20"/>
                <w:color w:val="auto"/>
              </w:rPr>
            </w:pPr>
            <w:r>
              <w:rPr>
                <w:rFonts w:ascii="Times New Roman" w:cs="Times New Roman" w:eastAsia="Times New Roman" w:hAnsi="Times New Roman"/>
                <w:sz w:val="13"/>
                <w:szCs w:val="13"/>
                <w:color w:val="auto"/>
              </w:rPr>
              <w:t>By:</w:t>
            </w:r>
          </w:p>
        </w:tc>
        <w:tc>
          <w:tcPr>
            <w:tcW w:w="406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/s/ Adam Kroll</w:t>
            </w:r>
          </w:p>
        </w:tc>
      </w:tr>
      <w:tr>
        <w:trPr>
          <w:trHeight w:val="138"/>
        </w:trPr>
        <w:tc>
          <w:tcPr>
            <w:tcW w:w="440" w:type="dxa"/>
            <w:vAlign w:val="bottom"/>
          </w:tcPr>
          <w:p>
            <w:pPr>
              <w:spacing w:after="0" w:line="139" w:lineRule="exact"/>
              <w:rPr>
                <w:sz w:val="20"/>
                <w:szCs w:val="20"/>
                <w:color w:val="auto"/>
              </w:rPr>
            </w:pPr>
            <w:r>
              <w:rPr>
                <w:rFonts w:ascii="Times New Roman" w:cs="Times New Roman" w:eastAsia="Times New Roman" w:hAnsi="Times New Roman"/>
                <w:sz w:val="13"/>
                <w:szCs w:val="13"/>
                <w:color w:val="auto"/>
              </w:rPr>
              <w:t>Name:</w:t>
            </w:r>
          </w:p>
        </w:tc>
        <w:tc>
          <w:tcPr>
            <w:tcW w:w="100" w:type="dxa"/>
            <w:vAlign w:val="bottom"/>
          </w:tcPr>
          <w:p>
            <w:pPr>
              <w:spacing w:after="0"/>
              <w:rPr>
                <w:sz w:val="12"/>
                <w:szCs w:val="12"/>
                <w:color w:val="auto"/>
              </w:rPr>
            </w:pPr>
          </w:p>
        </w:tc>
        <w:tc>
          <w:tcPr>
            <w:tcW w:w="3960" w:type="dxa"/>
            <w:vAlign w:val="bottom"/>
            <w:tcBorders>
              <w:top w:val="single" w:sz="8" w:color="auto"/>
            </w:tcBorders>
          </w:tcPr>
          <w:p>
            <w:pPr>
              <w:ind w:left="20"/>
              <w:spacing w:after="0" w:line="139" w:lineRule="exact"/>
              <w:rPr>
                <w:sz w:val="20"/>
                <w:szCs w:val="20"/>
                <w:color w:val="auto"/>
              </w:rPr>
            </w:pPr>
            <w:r>
              <w:rPr>
                <w:rFonts w:ascii="Times New Roman" w:cs="Times New Roman" w:eastAsia="Times New Roman" w:hAnsi="Times New Roman"/>
                <w:sz w:val="13"/>
                <w:szCs w:val="13"/>
                <w:color w:val="auto"/>
              </w:rPr>
              <w:t>Adam Kroll</w:t>
            </w:r>
          </w:p>
        </w:tc>
      </w:tr>
      <w:tr>
        <w:trPr>
          <w:trHeight w:val="172"/>
        </w:trPr>
        <w:tc>
          <w:tcPr>
            <w:tcW w:w="440" w:type="dxa"/>
            <w:vAlign w:val="bottom"/>
          </w:tcPr>
          <w:p>
            <w:pPr>
              <w:spacing w:after="0"/>
              <w:rPr>
                <w:sz w:val="20"/>
                <w:szCs w:val="20"/>
                <w:color w:val="auto"/>
              </w:rPr>
            </w:pPr>
            <w:r>
              <w:rPr>
                <w:rFonts w:ascii="Times New Roman" w:cs="Times New Roman" w:eastAsia="Times New Roman" w:hAnsi="Times New Roman"/>
                <w:sz w:val="13"/>
                <w:szCs w:val="13"/>
                <w:color w:val="auto"/>
              </w:rPr>
              <w:t>Title:</w:t>
            </w:r>
          </w:p>
        </w:tc>
        <w:tc>
          <w:tcPr>
            <w:tcW w:w="100" w:type="dxa"/>
            <w:vAlign w:val="bottom"/>
          </w:tcPr>
          <w:p>
            <w:pPr>
              <w:spacing w:after="0"/>
              <w:rPr>
                <w:sz w:val="14"/>
                <w:szCs w:val="14"/>
                <w:color w:val="auto"/>
              </w:rPr>
            </w:pPr>
          </w:p>
        </w:tc>
        <w:tc>
          <w:tcPr>
            <w:tcW w:w="39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Chief Financial Officer</w:t>
            </w:r>
          </w:p>
        </w:tc>
      </w:tr>
    </w:tbl>
    <w:p>
      <w:pPr>
        <w:spacing w:after="0" w:line="1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Date: August 18,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611505</wp:posOffset>
            </wp:positionV>
            <wp:extent cx="569214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861" w:right="1440" w:bottom="1440" w:gutter="0" w:footer="0" w:header="0"/>
        </w:sectPr>
      </w:pPr>
    </w:p>
    <w:bookmarkStart w:id="3" w:name="page4"/>
    <w:bookmarkEnd w:id="3"/>
    <w:p>
      <w:pPr>
        <w:jc w:val="right"/>
        <w:ind w:right="39"/>
        <w:spacing w:after="0"/>
        <w:rPr>
          <w:sz w:val="20"/>
          <w:szCs w:val="20"/>
          <w:color w:val="auto"/>
        </w:rPr>
      </w:pPr>
      <w:r>
        <w:rPr>
          <w:rFonts w:ascii="Times New Roman" w:cs="Times New Roman" w:eastAsia="Times New Roman" w:hAnsi="Times New Roman"/>
          <w:sz w:val="12"/>
          <w:szCs w:val="12"/>
          <w:b w:val="1"/>
          <w:bCs w:val="1"/>
          <w:color w:val="auto"/>
        </w:rPr>
        <w:t>Exhibit 3.1</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CERTIFICATE OF AMENDMENT</w:t>
      </w:r>
    </w:p>
    <w:p>
      <w:pPr>
        <w:spacing w:after="0" w:line="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OF</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SECOND AMENDED AND RESTATED</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CERTIFICATE OF INCORPORATION</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OF</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LORDSTOWN MOTORS CORP.</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Pursuant to Section 242 of the</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u w:val="single" w:color="auto"/>
          <w:color w:val="auto"/>
        </w:rPr>
        <w:t>General Corporation Law of the State of Delaware</w:t>
      </w:r>
    </w:p>
    <w:p>
      <w:pPr>
        <w:spacing w:after="0" w:line="132" w:lineRule="exact"/>
        <w:rPr>
          <w:sz w:val="20"/>
          <w:szCs w:val="20"/>
          <w:color w:val="auto"/>
        </w:rPr>
      </w:pPr>
    </w:p>
    <w:p>
      <w:pPr>
        <w:jc w:val="both"/>
        <w:ind w:left="20" w:right="39" w:firstLine="432"/>
        <w:spacing w:after="0" w:line="284" w:lineRule="auto"/>
        <w:rPr>
          <w:sz w:val="20"/>
          <w:szCs w:val="20"/>
          <w:color w:val="auto"/>
        </w:rPr>
      </w:pPr>
      <w:r>
        <w:rPr>
          <w:rFonts w:ascii="Times New Roman" w:cs="Times New Roman" w:eastAsia="Times New Roman" w:hAnsi="Times New Roman"/>
          <w:sz w:val="13"/>
          <w:szCs w:val="13"/>
          <w:color w:val="auto"/>
        </w:rPr>
        <w:t>Lordstown Motors Corp. (the “</w:t>
      </w:r>
      <w:r>
        <w:rPr>
          <w:rFonts w:ascii="Times New Roman" w:cs="Times New Roman" w:eastAsia="Times New Roman" w:hAnsi="Times New Roman"/>
          <w:sz w:val="13"/>
          <w:szCs w:val="13"/>
          <w:b w:val="1"/>
          <w:bCs w:val="1"/>
          <w:u w:val="single" w:color="auto"/>
          <w:color w:val="auto"/>
        </w:rPr>
        <w:t>Company</w:t>
      </w:r>
      <w:r>
        <w:rPr>
          <w:rFonts w:ascii="Times New Roman" w:cs="Times New Roman" w:eastAsia="Times New Roman" w:hAnsi="Times New Roman"/>
          <w:sz w:val="13"/>
          <w:szCs w:val="13"/>
          <w:color w:val="auto"/>
        </w:rPr>
        <w:t>”), a corporation organized and existing under and by virtue of the General Corporation Law of the State of Delaware, does hereby certify as follows:</w:t>
      </w:r>
    </w:p>
    <w:p>
      <w:pPr>
        <w:spacing w:after="0" w:line="96" w:lineRule="exact"/>
        <w:rPr>
          <w:sz w:val="20"/>
          <w:szCs w:val="20"/>
          <w:color w:val="auto"/>
        </w:rPr>
      </w:pPr>
    </w:p>
    <w:p>
      <w:pPr>
        <w:jc w:val="both"/>
        <w:ind w:left="20" w:right="39" w:firstLine="432"/>
        <w:spacing w:after="0" w:line="255" w:lineRule="auto"/>
        <w:rPr>
          <w:sz w:val="20"/>
          <w:szCs w:val="20"/>
          <w:color w:val="auto"/>
        </w:rPr>
      </w:pPr>
      <w:r>
        <w:rPr>
          <w:rFonts w:ascii="Times New Roman" w:cs="Times New Roman" w:eastAsia="Times New Roman" w:hAnsi="Times New Roman"/>
          <w:sz w:val="13"/>
          <w:szCs w:val="13"/>
          <w:color w:val="auto"/>
        </w:rPr>
        <w:t>A resolution was duly adopted by the Board of Directors (the “</w:t>
      </w:r>
      <w:r>
        <w:rPr>
          <w:rFonts w:ascii="Times New Roman" w:cs="Times New Roman" w:eastAsia="Times New Roman" w:hAnsi="Times New Roman"/>
          <w:sz w:val="13"/>
          <w:szCs w:val="13"/>
          <w:b w:val="1"/>
          <w:bCs w:val="1"/>
          <w:u w:val="single" w:color="auto"/>
          <w:color w:val="auto"/>
        </w:rPr>
        <w:t>Board</w:t>
      </w:r>
      <w:r>
        <w:rPr>
          <w:rFonts w:ascii="Times New Roman" w:cs="Times New Roman" w:eastAsia="Times New Roman" w:hAnsi="Times New Roman"/>
          <w:sz w:val="13"/>
          <w:szCs w:val="13"/>
          <w:color w:val="auto"/>
        </w:rPr>
        <w:t>”) of the Company pursuant to Section 242 of the General Corporation Law of the State of Delaware setting forth an amendment to the Second Amended and Restated Certificate of Incorporation of the Company (the “</w:t>
      </w:r>
      <w:r>
        <w:rPr>
          <w:rFonts w:ascii="Times New Roman" w:cs="Times New Roman" w:eastAsia="Times New Roman" w:hAnsi="Times New Roman"/>
          <w:sz w:val="13"/>
          <w:szCs w:val="13"/>
          <w:b w:val="1"/>
          <w:bCs w:val="1"/>
          <w:u w:val="single" w:color="auto"/>
          <w:color w:val="auto"/>
        </w:rPr>
        <w:t>Charter Amendment</w:t>
      </w:r>
      <w:r>
        <w:rPr>
          <w:rFonts w:ascii="Times New Roman" w:cs="Times New Roman" w:eastAsia="Times New Roman" w:hAnsi="Times New Roman"/>
          <w:sz w:val="13"/>
          <w:szCs w:val="13"/>
          <w:color w:val="auto"/>
        </w:rPr>
        <w:t>”) and declaring said amendment to be advisable. The stockholders of the Company duly approved said proposed amendment at a special meeting of the stockholders called and held on August 17, 2022, upon notice in accordance with Section 222 of the General Corporation Law of the State of Delaware, by voting the necessary number of shares as required by statute in favor of the Charter Amendment. The resolution setting forth the amendment is as follows:</w:t>
      </w:r>
    </w:p>
    <w:p>
      <w:pPr>
        <w:spacing w:after="0" w:line="115" w:lineRule="exact"/>
        <w:rPr>
          <w:sz w:val="20"/>
          <w:szCs w:val="20"/>
          <w:color w:val="auto"/>
        </w:rPr>
      </w:pPr>
    </w:p>
    <w:p>
      <w:pPr>
        <w:jc w:val="both"/>
        <w:ind w:left="20" w:right="39" w:firstLine="432"/>
        <w:spacing w:after="0" w:line="284" w:lineRule="auto"/>
        <w:rPr>
          <w:sz w:val="20"/>
          <w:szCs w:val="20"/>
          <w:color w:val="auto"/>
        </w:rPr>
      </w:pPr>
      <w:r>
        <w:rPr>
          <w:rFonts w:ascii="Times New Roman" w:cs="Times New Roman" w:eastAsia="Times New Roman" w:hAnsi="Times New Roman"/>
          <w:sz w:val="13"/>
          <w:szCs w:val="13"/>
          <w:b w:val="1"/>
          <w:bCs w:val="1"/>
          <w:color w:val="auto"/>
        </w:rPr>
        <w:t>RESOLVED</w:t>
      </w:r>
      <w:r>
        <w:rPr>
          <w:rFonts w:ascii="Times New Roman" w:cs="Times New Roman" w:eastAsia="Times New Roman" w:hAnsi="Times New Roman"/>
          <w:sz w:val="13"/>
          <w:szCs w:val="13"/>
          <w:color w:val="auto"/>
        </w:rPr>
        <w:t>, that the Board hereby approves and recommends that the Company’s stockholders approve that Section 4.1 of Article IV of the Charter be deleted</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in its entirety and replaced with the following language:</w:t>
      </w:r>
    </w:p>
    <w:p>
      <w:pPr>
        <w:spacing w:after="0" w:line="98" w:lineRule="exact"/>
        <w:rPr>
          <w:sz w:val="20"/>
          <w:szCs w:val="20"/>
          <w:color w:val="auto"/>
        </w:rPr>
      </w:pPr>
    </w:p>
    <w:p>
      <w:pPr>
        <w:jc w:val="both"/>
        <w:ind w:left="1100" w:right="719"/>
        <w:spacing w:after="0" w:line="263" w:lineRule="auto"/>
        <w:rPr>
          <w:sz w:val="20"/>
          <w:szCs w:val="20"/>
          <w:color w:val="auto"/>
        </w:rPr>
      </w:pPr>
      <w:r>
        <w:rPr>
          <w:rFonts w:ascii="Times New Roman" w:cs="Times New Roman" w:eastAsia="Times New Roman" w:hAnsi="Times New Roman"/>
          <w:sz w:val="13"/>
          <w:szCs w:val="13"/>
          <w:color w:val="auto"/>
        </w:rPr>
        <w:t>“The total number of shares of all classes of capital stock, each with a par value of $0.0001 per share, which the Corporation is authorized to issue is 462,000,000 shares, consisting of (a) 450,000,000 shares of Class A common stock (the “Common Stock”) and (b) 12,000,000 shares of preferred stock (the “Preferred Stock”).”</w:t>
      </w: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Signature page follows</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1613535</wp:posOffset>
            </wp:positionV>
            <wp:extent cx="569214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278" w:right="1440" w:bottom="1440" w:gutter="0" w:footer="0" w:header="0"/>
        </w:sectPr>
      </w:pPr>
    </w:p>
    <w:bookmarkStart w:id="4" w:name="page5"/>
    <w:bookmarkEnd w:id="4"/>
    <w:p>
      <w:pPr>
        <w:ind w:left="20" w:right="39" w:firstLine="432"/>
        <w:spacing w:after="0" w:line="297" w:lineRule="auto"/>
        <w:rPr>
          <w:sz w:val="20"/>
          <w:szCs w:val="20"/>
          <w:color w:val="auto"/>
        </w:rPr>
      </w:pPr>
      <w:r>
        <w:rPr>
          <w:rFonts w:ascii="Times New Roman" w:cs="Times New Roman" w:eastAsia="Times New Roman" w:hAnsi="Times New Roman"/>
          <w:sz w:val="13"/>
          <w:szCs w:val="13"/>
          <w:color w:val="auto"/>
        </w:rPr>
        <w:t>IN WITNESS WHEREOF, the Company has caused its corporate seal to be affixed hereto and this Certificate of Amendment to be signed by its Chief Executive Officer and President this 18</w:t>
      </w:r>
      <w:r>
        <w:rPr>
          <w:rFonts w:ascii="Times New Roman" w:cs="Times New Roman" w:eastAsia="Times New Roman" w:hAnsi="Times New Roman"/>
          <w:sz w:val="19"/>
          <w:szCs w:val="19"/>
          <w:color w:val="auto"/>
          <w:vertAlign w:val="superscript"/>
        </w:rPr>
        <w:t>th</w:t>
      </w:r>
      <w:r>
        <w:rPr>
          <w:rFonts w:ascii="Times New Roman" w:cs="Times New Roman" w:eastAsia="Times New Roman" w:hAnsi="Times New Roman"/>
          <w:sz w:val="13"/>
          <w:szCs w:val="13"/>
          <w:color w:val="auto"/>
        </w:rPr>
        <w:t xml:space="preserve"> day of August, 2022.</w:t>
      </w:r>
    </w:p>
    <w:p>
      <w:pPr>
        <w:spacing w:after="0" w:line="99"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4"/>
          <w:szCs w:val="14"/>
          <w:color w:val="auto"/>
        </w:rPr>
        <w:t>LORDSTOWN MOTORS CORP.</w:t>
      </w:r>
    </w:p>
    <w:p>
      <w:pPr>
        <w:spacing w:after="0" w:line="154"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4"/>
          <w:szCs w:val="14"/>
          <w:color w:val="auto"/>
        </w:rPr>
        <w:t xml:space="preserve">By: </w:t>
      </w:r>
      <w:r>
        <w:rPr>
          <w:rFonts w:ascii="Times New Roman" w:cs="Times New Roman" w:eastAsia="Times New Roman" w:hAnsi="Times New Roman"/>
          <w:sz w:val="14"/>
          <w:szCs w:val="14"/>
          <w:u w:val="single" w:color="auto"/>
          <w:color w:val="auto"/>
        </w:rPr>
        <w:t>/s/ Edward T. Hightower</w:t>
      </w:r>
    </w:p>
    <w:p>
      <w:pPr>
        <w:spacing w:after="0" w:line="17"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4"/>
          <w:szCs w:val="14"/>
          <w:color w:val="auto"/>
        </w:rPr>
        <w:t>Name: Edward T. Hightower</w:t>
      </w:r>
    </w:p>
    <w:p>
      <w:pPr>
        <w:spacing w:after="0" w:line="1"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4"/>
          <w:szCs w:val="14"/>
          <w:color w:val="auto"/>
        </w:rPr>
        <w:t>Title: Chief Executive Officer</w:t>
      </w:r>
    </w:p>
    <w:p>
      <w:pPr>
        <w:spacing w:after="0" w:line="1"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4"/>
          <w:szCs w:val="14"/>
          <w:color w:val="auto"/>
        </w:rPr>
        <w:t>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230505</wp:posOffset>
            </wp:positionV>
            <wp:extent cx="5692140" cy="114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92140" cy="11430"/>
                    </a:xfrm>
                    <a:prstGeom prst="rect">
                      <a:avLst/>
                    </a:prstGeom>
                    <a:noFill/>
                  </pic:spPr>
                </pic:pic>
              </a:graphicData>
            </a:graphic>
          </wp:anchor>
        </w:drawing>
      </w:r>
    </w:p>
    <w:sectPr>
      <w:pgSz w:w="11900" w:h="16838" w:orient="portrait"/>
      <w:cols w:equalWidth="0" w:num="1">
        <w:col w:w="9019"/>
      </w:cols>
      <w:pgMar w:left="1440" w:top="41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2022-08-18T16:03:33Z</dcterms:created>
  <dcterms:modified xsi:type="dcterms:W3CDTF">2022-08-18T16:03:33Z</dcterms:modified>
</cp:coreProperties>
</file>