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7_edei--DocumentType_c20260826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b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i w:val="false"/>
          <w:caps w:val="false"/>
          <w:smallCaps w:val="false"/>
          <w:sz w:val="20"/>
        </w:rPr>
        <w:t>August 26,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5_edei--EntityRegistrantName_c2026"/>
      <w:bookmarkEnd w:id="4"/>
      <w:r>
        <w:rPr>
          <w:rFonts w:ascii="Times New Roman;Times;Serif" w:hAnsi="Times New Roman;Times;Serif"/>
          <w:b/>
          <w:i w:val="false"/>
          <w:caps w:val="false"/>
          <w:smallCaps w:val="false"/>
          <w:sz w:val="36"/>
        </w:rPr>
        <w:t>STARK NOVUS FINANCIAL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8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C_edei--EntityFileNumber_c20260826"/>
            <w:bookmarkEnd w:id="6"/>
            <w:r>
              <w:rPr>
                <w:rFonts w:ascii="Times New Roman;Times;Serif" w:hAnsi="Times New Roman;Times;Serif"/>
                <w:b/>
                <w:i w:val="false"/>
                <w:caps w:val="false"/>
                <w:smallCaps w:val="false"/>
                <w:sz w:val="20"/>
              </w:rPr>
              <w:t>001-38821</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0_edei--EntityTaxIdentificationNum"/>
            <w:bookmarkEnd w:id="7"/>
            <w:r>
              <w:rPr>
                <w:rFonts w:ascii="Times New Roman;Times;Serif" w:hAnsi="Times New Roman;Times;Serif"/>
                <w:b/>
                <w:i w:val="false"/>
                <w:caps w:val="false"/>
                <w:smallCaps w:val="false"/>
                <w:sz w:val="20"/>
              </w:rPr>
              <w:t>83-2533239</w:t>
            </w:r>
          </w:p>
        </w:tc>
      </w:tr>
      <w:tr>
        <w:trPr/>
        <w:tc>
          <w:tcPr>
            <w:tcW w:w="21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br/>
              <w:t>of 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b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 xml:space="preserve">1700 Broadway, </w:t>
      </w:r>
      <w:bookmarkStart w:id="9" w:name="xdx_90D_edei--EntityAddressAddressLine2_"/>
      <w:bookmarkEnd w:id="9"/>
      <w:r>
        <w:rPr>
          <w:rFonts w:ascii="Times New Roman;Times;Serif" w:hAnsi="Times New Roman;Times;Serif"/>
          <w:b/>
          <w:i w:val="false"/>
          <w:caps w:val="false"/>
          <w:smallCaps w:val="false"/>
          <w:sz w:val="20"/>
        </w:rPr>
        <w:t>19th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F_edei--EntityAddressCityOrTown_c2"/>
      <w:bookmarkEnd w:id="10"/>
      <w:r>
        <w:rPr>
          <w:rFonts w:ascii="Times New Roman;Times;Serif" w:hAnsi="Times New Roman;Times;Serif"/>
          <w:b/>
          <w:i w:val="false"/>
          <w:caps w:val="false"/>
          <w:smallCaps w:val="false"/>
          <w:sz w:val="20"/>
        </w:rPr>
        <w:t xml:space="preserve">New York, </w:t>
      </w:r>
      <w:bookmarkStart w:id="11" w:name="xdx_909_edei--EntityAddressStateOrProvin"/>
      <w:bookmarkEnd w:id="11"/>
      <w:r>
        <w:rPr>
          <w:rFonts w:ascii="Times New Roman;Times;Serif" w:hAnsi="Times New Roman;Times;Serif"/>
          <w:b/>
          <w:i w:val="false"/>
          <w:caps w:val="false"/>
          <w:smallCaps w:val="false"/>
          <w:sz w:val="20"/>
        </w:rPr>
        <w:t xml:space="preserve">New York </w:t>
      </w:r>
      <w:bookmarkStart w:id="12" w:name="xdx_90D_edei--EntityAddressPostalZipCode"/>
      <w:bookmarkEnd w:id="12"/>
      <w:r>
        <w:rPr>
          <w:rFonts w:ascii="Times New Roman;Times;Serif" w:hAnsi="Times New Roman;Times;Serif"/>
          <w:b/>
          <w:i w:val="false"/>
          <w:caps w:val="false"/>
          <w:smallCaps w:val="false"/>
          <w:sz w:val="20"/>
        </w:rPr>
        <w:t>10019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5_edei--CityAreaCode_c20260826__20"/>
      <w:bookmarkEnd w:id="13"/>
      <w:r>
        <w:rPr>
          <w:rFonts w:ascii="Times New Roman;Times;Serif" w:hAnsi="Times New Roman;Times;Serif"/>
          <w:b/>
          <w:i w:val="false"/>
          <w:caps w:val="false"/>
          <w:smallCaps w:val="false"/>
          <w:sz w:val="20"/>
        </w:rPr>
        <w:t xml:space="preserve">(212) </w:t>
      </w:r>
      <w:bookmarkStart w:id="14" w:name="xdx_903_edei--LocalPhoneNumber_c20260826"/>
      <w:bookmarkEnd w:id="14"/>
      <w:r>
        <w:rPr>
          <w:rFonts w:ascii="Times New Roman;Times;Serif" w:hAnsi="Times New Roman;Times;Serif"/>
          <w:b/>
          <w:i w:val="false"/>
          <w:caps w:val="false"/>
          <w:smallCaps w:val="false"/>
          <w:sz w:val="20"/>
        </w:rPr>
        <w:t>202-2200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7_edei--WrittenCommunications_c202"/>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B_edei--SolicitingMaterial_c202608"/>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7_edei--PreCommencementTenderOffer"/>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D_edei--PreCommencementIssuerTende"/>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9" w:name="xdx_90F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1"/>
        <w:gridCol w:w="9454"/>
      </w:tblGrid>
      <w:tr>
        <w:trPr/>
        <w:tc>
          <w:tcPr>
            <w:tcW w:w="75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w:t>
            </w:r>
          </w:p>
        </w:tc>
        <w:tc>
          <w:tcPr>
            <w:tcW w:w="9454"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Departure of Directors or Certain Officers; Election of Directors; Appointment of Certain Officers; Compensatory Arrangements of Certain Officers.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2026, the Compensation Committee of the Board of Directors of Stark Novus Financial Inc., a Delaware corporation (the “Company”) approved the following changes to the compensation of Alexander Matina, the Company’s Chief Executive Officer, each effective September 1, 2026: (i) Mr. Matina’s annual base salary was increased from $415,000 to $451,750; (ii) the annual grant of restricted stock units to be made to Mr. Matina on or about the first trading day of 2027 and for each calendar year thereafter was increased from $50,000 to $63,250 in fair market value (such grant will otherwise have the same terms as previously in effect, including vesting in two substantially equal installments on the first and second anniversaries of the grant date, subject to acceleration upon a change in control and continued employment through each vesting date), including a pro-rated portion for the balance of 2026 (with vesting to commence on the first and second anniversaries of September 1, 2026); and (iii) Mr. Matina will receive a one-time cash bonus of $120,000, payable on September 1,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989" w:type="dxa"/>
        <w:jc w:val="left"/>
        <w:tblInd w:w="0" w:type="dxa"/>
        <w:tblLayout w:type="fixed"/>
        <w:tblCellMar>
          <w:top w:w="0" w:type="dxa"/>
          <w:left w:w="0" w:type="dxa"/>
          <w:bottom w:w="0" w:type="dxa"/>
          <w:right w:w="0" w:type="dxa"/>
        </w:tblCellMar>
      </w:tblPr>
      <w:tblGrid>
        <w:gridCol w:w="2030"/>
        <w:gridCol w:w="665"/>
        <w:gridCol w:w="2294"/>
      </w:tblGrid>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295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STARK NOVUS FINANCIAL INC.</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tcBorders/>
            <w:vAlign w:val="center"/>
          </w:tcPr>
          <w:p>
            <w:pPr>
              <w:pStyle w:val="TableContents"/>
              <w:bidi w:val="0"/>
              <w:spacing w:before="0" w:after="283"/>
              <w:jc w:val="left"/>
              <w:rPr>
                <w:caps w:val="false"/>
                <w:smallCaps w:val="false"/>
              </w:rPr>
            </w:pPr>
            <w:r>
              <w:rPr>
                <w:caps w:val="false"/>
                <w:smallCaps w:val="false"/>
              </w:rPr>
              <w:t> </w:t>
            </w:r>
          </w:p>
        </w:tc>
        <w:tc>
          <w:tcPr>
            <w:tcW w:w="229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9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Sole</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2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Sole</w:t>
            </w:r>
          </w:p>
        </w:tc>
      </w:tr>
      <w:tr>
        <w:trPr/>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 2026</w:t>
            </w:r>
          </w:p>
        </w:tc>
        <w:tc>
          <w:tcPr>
            <w:tcW w:w="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529</Words>
  <Characters>2886</Characters>
  <CharactersWithSpaces>3418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