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18, 2022</w:t>
      </w:r>
    </w:p>
    <w:p>
      <w:pPr>
        <w:spacing w:after="0" w:line="1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333-250045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88900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POST-EFFECTIVE AMENDMENT NO. 3</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jc w:val="center"/>
        <w:spacing w:after="0"/>
        <w:rPr>
          <w:sz w:val="20"/>
          <w:szCs w:val="20"/>
          <w:color w:val="auto"/>
        </w:rPr>
      </w:pPr>
      <w:r>
        <w:rPr>
          <w:rFonts w:ascii="Arial" w:cs="Arial" w:eastAsia="Arial" w:hAnsi="Arial"/>
          <w:sz w:val="23"/>
          <w:szCs w:val="23"/>
          <w:b w:val="1"/>
          <w:bCs w:val="1"/>
          <w:color w:val="auto"/>
        </w:rPr>
        <w:t>Lordstown Motors Corp.</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Delaware</w:t>
            </w:r>
          </w:p>
        </w:tc>
        <w:tc>
          <w:tcPr>
            <w:tcW w:w="3580" w:type="dxa"/>
            <w:vAlign w:val="bottom"/>
          </w:tcPr>
          <w:p>
            <w:pPr>
              <w:jc w:val="right"/>
              <w:ind w:right="1639"/>
              <w:spacing w:after="0"/>
              <w:rPr>
                <w:sz w:val="20"/>
                <w:szCs w:val="20"/>
                <w:color w:val="auto"/>
              </w:rPr>
            </w:pPr>
            <w:r>
              <w:rPr>
                <w:rFonts w:ascii="Arial" w:cs="Arial" w:eastAsia="Arial" w:hAnsi="Arial"/>
                <w:sz w:val="16"/>
                <w:szCs w:val="16"/>
                <w:b w:val="1"/>
                <w:bCs w:val="1"/>
                <w:color w:val="auto"/>
              </w:rPr>
              <w:t>6770</w:t>
            </w:r>
          </w:p>
        </w:tc>
        <w:tc>
          <w:tcPr>
            <w:tcW w:w="2160" w:type="dxa"/>
            <w:vAlign w:val="bottom"/>
          </w:tcPr>
          <w:p>
            <w:pPr>
              <w:jc w:val="center"/>
              <w:ind w:left="879"/>
              <w:spacing w:after="0"/>
              <w:rPr>
                <w:sz w:val="20"/>
                <w:szCs w:val="20"/>
                <w:color w:val="auto"/>
              </w:rPr>
            </w:pPr>
            <w:r>
              <w:rPr>
                <w:rFonts w:ascii="Arial" w:cs="Arial" w:eastAsia="Arial" w:hAnsi="Arial"/>
                <w:sz w:val="16"/>
                <w:szCs w:val="16"/>
                <w:b w:val="1"/>
                <w:bCs w:val="1"/>
                <w:color w:val="auto"/>
                <w:w w:val="93"/>
              </w:rPr>
              <w:t>83-2533239</w:t>
            </w:r>
          </w:p>
        </w:tc>
      </w:tr>
      <w:tr>
        <w:trPr>
          <w:trHeight w:val="189"/>
        </w:trPr>
        <w:tc>
          <w:tcPr>
            <w:tcW w:w="2760" w:type="dxa"/>
            <w:vAlign w:val="bottom"/>
          </w:tcPr>
          <w:p>
            <w:pPr>
              <w:jc w:val="center"/>
              <w:ind w:right="739"/>
              <w:spacing w:after="0"/>
              <w:rPr>
                <w:sz w:val="20"/>
                <w:szCs w:val="20"/>
                <w:color w:val="auto"/>
              </w:rPr>
            </w:pPr>
            <w:r>
              <w:rPr>
                <w:rFonts w:ascii="Arial" w:cs="Arial" w:eastAsia="Arial" w:hAnsi="Arial"/>
                <w:sz w:val="16"/>
                <w:szCs w:val="16"/>
                <w:color w:val="auto"/>
                <w:w w:val="93"/>
              </w:rPr>
              <w:t>(State or Other Jurisdiction of</w:t>
            </w:r>
          </w:p>
        </w:tc>
        <w:tc>
          <w:tcPr>
            <w:tcW w:w="3580" w:type="dxa"/>
            <w:vAlign w:val="bottom"/>
          </w:tcPr>
          <w:p>
            <w:pPr>
              <w:jc w:val="center"/>
              <w:ind w:right="119"/>
              <w:spacing w:after="0"/>
              <w:rPr>
                <w:sz w:val="20"/>
                <w:szCs w:val="20"/>
                <w:color w:val="auto"/>
              </w:rPr>
            </w:pPr>
            <w:r>
              <w:rPr>
                <w:rFonts w:ascii="Arial" w:cs="Arial" w:eastAsia="Arial" w:hAnsi="Arial"/>
                <w:sz w:val="16"/>
                <w:szCs w:val="16"/>
                <w:color w:val="auto"/>
                <w:w w:val="93"/>
              </w:rPr>
              <w:t>(Primary Standard Industrial</w:t>
            </w:r>
          </w:p>
        </w:tc>
        <w:tc>
          <w:tcPr>
            <w:tcW w:w="2160" w:type="dxa"/>
            <w:vAlign w:val="bottom"/>
          </w:tcPr>
          <w:p>
            <w:pPr>
              <w:jc w:val="center"/>
              <w:ind w:left="839"/>
              <w:spacing w:after="0"/>
              <w:rPr>
                <w:sz w:val="20"/>
                <w:szCs w:val="20"/>
                <w:color w:val="auto"/>
              </w:rPr>
            </w:pPr>
            <w:r>
              <w:rPr>
                <w:rFonts w:ascii="Arial" w:cs="Arial" w:eastAsia="Arial" w:hAnsi="Arial"/>
                <w:sz w:val="16"/>
                <w:szCs w:val="16"/>
                <w:color w:val="auto"/>
                <w:w w:val="95"/>
              </w:rPr>
              <w:t>(I.R.S. Employer</w:t>
            </w:r>
          </w:p>
        </w:tc>
      </w:tr>
      <w:tr>
        <w:trPr>
          <w:trHeight w:val="185"/>
        </w:trPr>
        <w:tc>
          <w:tcPr>
            <w:tcW w:w="2760" w:type="dxa"/>
            <w:vAlign w:val="bottom"/>
          </w:tcPr>
          <w:p>
            <w:pPr>
              <w:jc w:val="center"/>
              <w:ind w:right="679"/>
              <w:spacing w:after="0"/>
              <w:rPr>
                <w:sz w:val="20"/>
                <w:szCs w:val="20"/>
                <w:color w:val="auto"/>
              </w:rPr>
            </w:pPr>
            <w:r>
              <w:rPr>
                <w:rFonts w:ascii="Arial" w:cs="Arial" w:eastAsia="Arial" w:hAnsi="Arial"/>
                <w:sz w:val="16"/>
                <w:szCs w:val="16"/>
                <w:color w:val="auto"/>
                <w:w w:val="94"/>
              </w:rPr>
              <w:t>Incorporation or Organization)</w:t>
            </w:r>
          </w:p>
        </w:tc>
        <w:tc>
          <w:tcPr>
            <w:tcW w:w="3580" w:type="dxa"/>
            <w:vAlign w:val="bottom"/>
          </w:tcPr>
          <w:p>
            <w:pPr>
              <w:jc w:val="center"/>
              <w:ind w:right="119"/>
              <w:spacing w:after="0"/>
              <w:rPr>
                <w:sz w:val="20"/>
                <w:szCs w:val="20"/>
                <w:color w:val="auto"/>
              </w:rPr>
            </w:pPr>
            <w:r>
              <w:rPr>
                <w:rFonts w:ascii="Arial" w:cs="Arial" w:eastAsia="Arial" w:hAnsi="Arial"/>
                <w:sz w:val="16"/>
                <w:szCs w:val="16"/>
                <w:color w:val="auto"/>
                <w:w w:val="94"/>
              </w:rPr>
              <w:t>Classification Code No.)</w:t>
            </w:r>
          </w:p>
        </w:tc>
        <w:tc>
          <w:tcPr>
            <w:tcW w:w="2160" w:type="dxa"/>
            <w:vAlign w:val="bottom"/>
          </w:tcPr>
          <w:p>
            <w:pPr>
              <w:jc w:val="center"/>
              <w:ind w:left="879"/>
              <w:spacing w:after="0"/>
              <w:rPr>
                <w:sz w:val="20"/>
                <w:szCs w:val="20"/>
                <w:color w:val="auto"/>
              </w:rPr>
            </w:pPr>
            <w:r>
              <w:rPr>
                <w:rFonts w:ascii="Arial" w:cs="Arial" w:eastAsia="Arial" w:hAnsi="Arial"/>
                <w:sz w:val="16"/>
                <w:szCs w:val="16"/>
                <w:color w:val="auto"/>
                <w:w w:val="96"/>
              </w:rPr>
              <w:t>Identification No.)</w:t>
            </w:r>
          </w:p>
        </w:tc>
      </w:tr>
      <w:tr>
        <w:trPr>
          <w:trHeight w:val="189"/>
        </w:trPr>
        <w:tc>
          <w:tcPr>
            <w:tcW w:w="2760" w:type="dxa"/>
            <w:vAlign w:val="bottom"/>
          </w:tcPr>
          <w:p>
            <w:pPr>
              <w:spacing w:after="0"/>
              <w:rPr>
                <w:sz w:val="16"/>
                <w:szCs w:val="16"/>
                <w:color w:val="auto"/>
              </w:rPr>
            </w:pPr>
          </w:p>
        </w:tc>
        <w:tc>
          <w:tcPr>
            <w:tcW w:w="3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2300 Hallock Young Road</w:t>
            </w:r>
          </w:p>
        </w:tc>
        <w:tc>
          <w:tcPr>
            <w:tcW w:w="2160" w:type="dxa"/>
            <w:vAlign w:val="bottom"/>
          </w:tcPr>
          <w:p>
            <w:pPr>
              <w:spacing w:after="0"/>
              <w:rPr>
                <w:sz w:val="16"/>
                <w:szCs w:val="16"/>
                <w:color w:val="auto"/>
              </w:rPr>
            </w:pPr>
          </w:p>
        </w:tc>
      </w:tr>
      <w:tr>
        <w:trPr>
          <w:trHeight w:val="189"/>
        </w:trPr>
        <w:tc>
          <w:tcPr>
            <w:tcW w:w="2760" w:type="dxa"/>
            <w:vAlign w:val="bottom"/>
          </w:tcPr>
          <w:p>
            <w:pPr>
              <w:spacing w:after="0"/>
              <w:rPr>
                <w:sz w:val="16"/>
                <w:szCs w:val="16"/>
                <w:color w:val="auto"/>
              </w:rPr>
            </w:pPr>
          </w:p>
        </w:tc>
        <w:tc>
          <w:tcPr>
            <w:tcW w:w="3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Lordstown, Ohio 44481</w:t>
            </w:r>
          </w:p>
        </w:tc>
        <w:tc>
          <w:tcPr>
            <w:tcW w:w="2160" w:type="dxa"/>
            <w:vAlign w:val="bottom"/>
          </w:tcPr>
          <w:p>
            <w:pPr>
              <w:spacing w:after="0"/>
              <w:rPr>
                <w:sz w:val="16"/>
                <w:szCs w:val="16"/>
                <w:color w:val="auto"/>
              </w:rPr>
            </w:pPr>
          </w:p>
        </w:tc>
      </w:tr>
      <w:tr>
        <w:trPr>
          <w:trHeight w:val="210"/>
        </w:trPr>
        <w:tc>
          <w:tcPr>
            <w:tcW w:w="2760" w:type="dxa"/>
            <w:vAlign w:val="bottom"/>
          </w:tcPr>
          <w:p>
            <w:pPr>
              <w:spacing w:after="0"/>
              <w:rPr>
                <w:sz w:val="18"/>
                <w:szCs w:val="18"/>
                <w:color w:val="auto"/>
              </w:rPr>
            </w:pPr>
          </w:p>
        </w:tc>
        <w:tc>
          <w:tcPr>
            <w:tcW w:w="3580" w:type="dxa"/>
            <w:vAlign w:val="bottom"/>
          </w:tcPr>
          <w:p>
            <w:pPr>
              <w:jc w:val="right"/>
              <w:ind w:right="1299"/>
              <w:spacing w:after="0"/>
              <w:rPr>
                <w:sz w:val="20"/>
                <w:szCs w:val="20"/>
                <w:color w:val="auto"/>
              </w:rPr>
            </w:pPr>
            <w:r>
              <w:rPr>
                <w:rFonts w:ascii="Arial" w:cs="Arial" w:eastAsia="Arial" w:hAnsi="Arial"/>
                <w:sz w:val="16"/>
                <w:szCs w:val="16"/>
                <w:b w:val="1"/>
                <w:bCs w:val="1"/>
                <w:color w:val="auto"/>
              </w:rPr>
              <w:t>(234) 285-4001</w:t>
            </w:r>
          </w:p>
        </w:tc>
        <w:tc>
          <w:tcPr>
            <w:tcW w:w="2160" w:type="dxa"/>
            <w:vAlign w:val="bottom"/>
          </w:tcPr>
          <w:p>
            <w:pPr>
              <w:spacing w:after="0"/>
              <w:rPr>
                <w:sz w:val="18"/>
                <w:szCs w:val="18"/>
                <w:color w:val="auto"/>
              </w:rPr>
            </w:pPr>
          </w:p>
        </w:tc>
      </w:tr>
    </w:tbl>
    <w:p>
      <w:pPr>
        <w:spacing w:after="0" w:line="6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19" w:lineRule="exact"/>
        <w:rPr>
          <w:sz w:val="24"/>
          <w:szCs w:val="24"/>
          <w:color w:val="auto"/>
        </w:rPr>
      </w:pPr>
    </w:p>
    <w:p>
      <w:pPr>
        <w:ind w:left="4440"/>
        <w:spacing w:after="0"/>
        <w:rPr>
          <w:sz w:val="20"/>
          <w:szCs w:val="20"/>
          <w:color w:val="auto"/>
        </w:rPr>
      </w:pPr>
      <w:r>
        <w:rPr>
          <w:rFonts w:ascii="Arial" w:cs="Arial" w:eastAsia="Arial" w:hAnsi="Arial"/>
          <w:sz w:val="16"/>
          <w:szCs w:val="16"/>
          <w:b w:val="1"/>
          <w:bCs w:val="1"/>
          <w:color w:val="auto"/>
        </w:rPr>
        <w:t>Melissa A. Leonard</w:t>
      </w:r>
    </w:p>
    <w:p>
      <w:pPr>
        <w:spacing w:after="0" w:line="5"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Lordstown Motors Corp.</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2300 Hallock Young Road</w:t>
      </w:r>
    </w:p>
    <w:p>
      <w:pPr>
        <w:spacing w:after="0" w:line="5" w:lineRule="exact"/>
        <w:rPr>
          <w:sz w:val="24"/>
          <w:szCs w:val="24"/>
          <w:color w:val="auto"/>
        </w:rPr>
      </w:pPr>
    </w:p>
    <w:p>
      <w:pPr>
        <w:ind w:left="4160"/>
        <w:spacing w:after="0"/>
        <w:rPr>
          <w:sz w:val="20"/>
          <w:szCs w:val="20"/>
          <w:color w:val="auto"/>
        </w:rPr>
      </w:pPr>
      <w:r>
        <w:rPr>
          <w:rFonts w:ascii="Arial" w:cs="Arial" w:eastAsia="Arial" w:hAnsi="Arial"/>
          <w:sz w:val="16"/>
          <w:szCs w:val="16"/>
          <w:b w:val="1"/>
          <w:bCs w:val="1"/>
          <w:color w:val="auto"/>
        </w:rPr>
        <w:t>Lordstown, Ohio 44481</w:t>
      </w:r>
    </w:p>
    <w:p>
      <w:pPr>
        <w:spacing w:after="0" w:line="5"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(234) 285-4001</w:t>
      </w:r>
    </w:p>
    <w:p>
      <w:pPr>
        <w:spacing w:after="0" w:line="5" w:lineRule="exact"/>
        <w:rPr>
          <w:sz w:val="24"/>
          <w:szCs w:val="24"/>
          <w:color w:val="auto"/>
        </w:rPr>
      </w:pPr>
    </w:p>
    <w:p>
      <w:pPr>
        <w:ind w:left="1520"/>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5"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Copies to:</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Janet A. Spreen, Esq.</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Baker &amp; Hostetler LLP</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127 Public Square, Suite 2000</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Cleveland, Ohio 44114</w:t>
      </w:r>
    </w:p>
    <w:p>
      <w:pPr>
        <w:spacing w:after="0" w:line="5"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Tel: (216) 621-0200</w:t>
      </w:r>
    </w:p>
    <w:p>
      <w:pPr>
        <w:spacing w:after="0" w:line="5"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Fax: (216) 696-0740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43180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16"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public:From time to time after the effective date of this registration statement.</w:t>
      </w:r>
    </w:p>
    <w:p>
      <w:pPr>
        <w:spacing w:after="0" w:line="140" w:lineRule="exact"/>
        <w:rPr>
          <w:sz w:val="24"/>
          <w:szCs w:val="24"/>
          <w:color w:val="auto"/>
        </w:rPr>
      </w:pPr>
    </w:p>
    <w:p>
      <w:pPr>
        <w:ind w:right="220" w:firstLine="324"/>
        <w:spacing w:after="0" w:line="20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40" w:firstLine="324"/>
        <w:spacing w:after="0" w:line="207"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4" w:lineRule="exact"/>
        <w:rPr>
          <w:sz w:val="24"/>
          <w:szCs w:val="24"/>
          <w:color w:val="auto"/>
        </w:rPr>
      </w:pPr>
    </w:p>
    <w:p>
      <w:pPr>
        <w:ind w:right="240" w:firstLine="324"/>
        <w:spacing w:after="0" w:line="207"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4" w:lineRule="exact"/>
        <w:rPr>
          <w:sz w:val="24"/>
          <w:szCs w:val="24"/>
          <w:color w:val="auto"/>
        </w:rPr>
      </w:pPr>
    </w:p>
    <w:p>
      <w:pPr>
        <w:ind w:right="220" w:firstLine="324"/>
        <w:spacing w:after="0" w:line="207"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4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ectPr>
          <w:pgSz w:w="11900" w:h="16838" w:orient="portrait"/>
          <w:cols w:equalWidth="0" w:num="1">
            <w:col w:w="9920"/>
          </w:cols>
          <w:pgMar w:left="980" w:top="665" w:right="999" w:bottom="1440" w:gutter="0" w:footer="0" w:header="0"/>
        </w:sectPr>
      </w:pP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both"/>
        <w:ind w:right="340" w:hanging="1"/>
        <w:spacing w:after="0" w:line="229"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87" w:lineRule="exact"/>
        <w:rPr>
          <w:sz w:val="24"/>
          <w:szCs w:val="24"/>
          <w:color w:val="auto"/>
        </w:rPr>
      </w:pPr>
    </w:p>
    <w:p>
      <w:pPr>
        <w:sectPr>
          <w:pgSz w:w="11900" w:h="16838" w:orient="portrait"/>
          <w:cols w:equalWidth="0" w:num="4">
            <w:col w:w="2160" w:space="720"/>
            <w:col w:w="1600" w:space="720"/>
            <w:col w:w="1700" w:space="720"/>
            <w:col w:w="2300"/>
          </w:cols>
          <w:pgMar w:left="980" w:top="665" w:right="999" w:bottom="1440" w:gutter="0" w:footer="0" w:header="0"/>
          <w:type w:val="continuous"/>
        </w:sectPr>
      </w:pPr>
    </w:p>
    <w:p>
      <w:pPr>
        <w:ind w:right="20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86995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98" w:lineRule="exact"/>
        <w:rPr>
          <w:sz w:val="24"/>
          <w:szCs w:val="24"/>
          <w:color w:val="auto"/>
        </w:rPr>
      </w:pPr>
    </w:p>
    <w:p>
      <w:pPr>
        <w:ind w:right="80" w:firstLine="243"/>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519430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Lordstown Motors Corp., a Delaware corporation, filed a Registration Statement on Form S-1 on November 12, 2020, which was declared effective on December 4, 2020, and which was amended by Post- Effective Amendment No. 1 to the Registration Statement on Form S-1, filed on June 10, 2021 and Post-Effective Amendment No. 2 to the Registration Statement on Form S-1, filed on July 15, 2021 (as amended and supplemented,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This Post-Effective Amendment No. 3 to the Registration Statement on Form S-1 (the “</w:t>
      </w:r>
      <w:r>
        <w:rPr>
          <w:rFonts w:ascii="Arial" w:cs="Arial" w:eastAsia="Arial" w:hAnsi="Arial"/>
          <w:sz w:val="16"/>
          <w:szCs w:val="16"/>
          <w:i w:val="1"/>
          <w:iCs w:val="1"/>
          <w:color w:val="auto"/>
        </w:rPr>
        <w:t>Post-Effective Amendment</w:t>
      </w:r>
      <w:r>
        <w:rPr>
          <w:rFonts w:ascii="Arial" w:cs="Arial" w:eastAsia="Arial" w:hAnsi="Arial"/>
          <w:sz w:val="16"/>
          <w:szCs w:val="16"/>
          <w:color w:val="auto"/>
        </w:rPr>
        <w:t>”) is being filed in order to update disclosures in the Registration Statement reflecting the filing by Lordstown Motors Corp. of its Annual Report on Form 10-K for the year ended December 31, 2021 on February 28, 2022 and to make certain other updates, including updated information regarding certain selling securityholders and a reduction in the number of shares of Class A common stock being offered by the selling securityholders to 72,133,238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885825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 w:name="page3"/>
    <w:bookmarkEnd w:id="2"/>
    <w:p>
      <w:pPr>
        <w:ind w:left="2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0140"/>
          </w:cols>
          <w:pgMar w:left="760" w:top="517" w:right="99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180" w:type="dxa"/>
            <w:vAlign w:val="bottom"/>
            <w:textDirection w:val="btLr"/>
          </w:tcPr>
          <w:p>
            <w:pPr>
              <w:ind w:left="104"/>
              <w:spacing w:after="0"/>
              <w:rPr>
                <w:sz w:val="20"/>
                <w:szCs w:val="20"/>
                <w:color w:val="auto"/>
              </w:rPr>
            </w:pPr>
            <w:r>
              <w:rPr>
                <w:rFonts w:ascii="Arial" w:cs="Arial" w:eastAsia="Arial" w:hAnsi="Arial"/>
                <w:sz w:val="4"/>
                <w:szCs w:val="4"/>
                <w:b w:val="1"/>
                <w:bCs w:val="1"/>
                <w:color w:val="FF0000"/>
                <w:w w:val="83"/>
              </w:rPr>
              <w:t>The</w:t>
            </w:r>
          </w:p>
        </w:tc>
        <w:tc>
          <w:tcPr>
            <w:tcW w:w="1220" w:type="dxa"/>
            <w:vAlign w:val="bottom"/>
            <w:textDirection w:val="btLr"/>
          </w:tcPr>
          <w:p>
            <w:pPr>
              <w:spacing w:after="0"/>
              <w:rPr>
                <w:sz w:val="20"/>
                <w:szCs w:val="20"/>
                <w:color w:val="auto"/>
              </w:rPr>
            </w:pPr>
            <w:r>
              <w:rPr>
                <w:rFonts w:ascii="Arial" w:cs="Arial" w:eastAsia="Arial" w:hAnsi="Arial"/>
                <w:sz w:val="1"/>
                <w:szCs w:val="1"/>
                <w:b w:val="1"/>
                <w:bCs w:val="1"/>
                <w:color w:val="FF0000"/>
                <w:w w:val="26"/>
              </w:rPr>
              <w:t>ininformationthispreliminaryprospectusnotand</w:t>
            </w:r>
          </w:p>
        </w:tc>
        <w:tc>
          <w:tcPr>
            <w:tcW w:w="400" w:type="dxa"/>
            <w:vAlign w:val="bottom"/>
            <w:textDirection w:val="btLr"/>
          </w:tcPr>
          <w:p>
            <w:pPr>
              <w:spacing w:after="0"/>
              <w:rPr>
                <w:sz w:val="20"/>
                <w:szCs w:val="20"/>
                <w:color w:val="auto"/>
              </w:rPr>
            </w:pPr>
            <w:r>
              <w:rPr>
                <w:rFonts w:ascii="Arial" w:cs="Arial" w:eastAsia="Arial" w:hAnsi="Arial"/>
                <w:sz w:val="1"/>
                <w:szCs w:val="1"/>
                <w:b w:val="1"/>
                <w:bCs w:val="1"/>
                <w:color w:val="FF0000"/>
                <w:w w:val="75"/>
              </w:rPr>
              <w:t>changed.Neither</w:t>
            </w:r>
          </w:p>
        </w:tc>
        <w:tc>
          <w:tcPr>
            <w:tcW w:w="200" w:type="dxa"/>
            <w:vAlign w:val="bottom"/>
            <w:textDirection w:val="btLr"/>
          </w:tcPr>
          <w:p>
            <w:pPr>
              <w:ind w:left="114"/>
              <w:spacing w:after="0"/>
              <w:rPr>
                <w:sz w:val="20"/>
                <w:szCs w:val="20"/>
                <w:color w:val="auto"/>
              </w:rPr>
            </w:pPr>
            <w:r>
              <w:rPr>
                <w:rFonts w:ascii="Arial" w:cs="Arial" w:eastAsia="Arial" w:hAnsi="Arial"/>
                <w:sz w:val="5"/>
                <w:szCs w:val="5"/>
                <w:b w:val="1"/>
                <w:bCs w:val="1"/>
                <w:color w:val="FF0000"/>
                <w:w w:val="79"/>
              </w:rPr>
              <w:t>the</w:t>
            </w:r>
          </w:p>
        </w:tc>
        <w:tc>
          <w:tcPr>
            <w:tcW w:w="400" w:type="dxa"/>
            <w:vAlign w:val="bottom"/>
            <w:textDirection w:val="btLr"/>
          </w:tcPr>
          <w:p>
            <w:pPr>
              <w:spacing w:after="0"/>
              <w:rPr>
                <w:sz w:val="20"/>
                <w:szCs w:val="20"/>
                <w:color w:val="auto"/>
              </w:rPr>
            </w:pPr>
            <w:r>
              <w:rPr>
                <w:rFonts w:ascii="Arial" w:cs="Arial" w:eastAsia="Arial" w:hAnsi="Arial"/>
                <w:sz w:val="1"/>
                <w:szCs w:val="1"/>
                <w:b w:val="1"/>
                <w:bCs w:val="1"/>
                <w:color w:val="FF0000"/>
              </w:rPr>
              <w:t>securityholdersmay</w:t>
            </w:r>
          </w:p>
        </w:tc>
        <w:tc>
          <w:tcPr>
            <w:tcW w:w="200" w:type="dxa"/>
            <w:vAlign w:val="bottom"/>
            <w:textDirection w:val="btLr"/>
          </w:tcPr>
          <w:p>
            <w:pPr>
              <w:ind w:left="143"/>
              <w:spacing w:after="0"/>
              <w:rPr>
                <w:sz w:val="20"/>
                <w:szCs w:val="20"/>
                <w:color w:val="auto"/>
              </w:rPr>
            </w:pPr>
            <w:r>
              <w:rPr>
                <w:rFonts w:ascii="Arial" w:cs="Arial" w:eastAsia="Arial" w:hAnsi="Arial"/>
                <w:sz w:val="3"/>
                <w:szCs w:val="3"/>
                <w:b w:val="1"/>
                <w:bCs w:val="1"/>
                <w:color w:val="FF0000"/>
                <w:w w:val="71"/>
              </w:rPr>
              <w:t>securities</w:t>
            </w:r>
          </w:p>
        </w:tc>
        <w:tc>
          <w:tcPr>
            <w:tcW w:w="620" w:type="dxa"/>
            <w:vAlign w:val="bottom"/>
            <w:textDirection w:val="btLr"/>
          </w:tcPr>
          <w:p>
            <w:pPr>
              <w:spacing w:after="0"/>
              <w:rPr>
                <w:sz w:val="20"/>
                <w:szCs w:val="20"/>
                <w:color w:val="auto"/>
              </w:rPr>
            </w:pPr>
            <w:r>
              <w:rPr>
                <w:rFonts w:ascii="Arial" w:cs="Arial" w:eastAsia="Arial" w:hAnsi="Arial"/>
                <w:sz w:val="1"/>
                <w:szCs w:val="1"/>
                <w:b w:val="1"/>
                <w:bCs w:val="1"/>
                <w:color w:val="FF0000"/>
                <w:w w:val="84"/>
              </w:rPr>
              <w:t>theregistrationstatement</w:t>
            </w:r>
          </w:p>
        </w:tc>
        <w:tc>
          <w:tcPr>
            <w:tcW w:w="200" w:type="dxa"/>
            <w:vAlign w:val="bottom"/>
            <w:textDirection w:val="btLr"/>
          </w:tcPr>
          <w:p>
            <w:pPr>
              <w:ind w:left="89"/>
              <w:spacing w:after="0"/>
              <w:rPr>
                <w:sz w:val="20"/>
                <w:szCs w:val="20"/>
                <w:color w:val="auto"/>
              </w:rPr>
            </w:pPr>
            <w:r>
              <w:rPr>
                <w:rFonts w:ascii="Arial" w:cs="Arial" w:eastAsia="Arial" w:hAnsi="Arial"/>
                <w:sz w:val="7"/>
                <w:szCs w:val="7"/>
                <w:b w:val="1"/>
                <w:bCs w:val="1"/>
                <w:color w:val="FF0000"/>
                <w:w w:val="71"/>
              </w:rPr>
              <w:t>with</w:t>
            </w:r>
          </w:p>
        </w:tc>
      </w:tr>
      <w:tr>
        <w:trPr>
          <w:trHeight w:val="763"/>
        </w:trPr>
        <w:tc>
          <w:tcPr>
            <w:tcW w:w="180" w:type="dxa"/>
            <w:vAlign w:val="bottom"/>
          </w:tcPr>
          <w:p>
            <w:pPr>
              <w:spacing w:after="0"/>
              <w:rPr>
                <w:sz w:val="24"/>
                <w:szCs w:val="24"/>
                <w:color w:val="auto"/>
              </w:rPr>
            </w:pPr>
          </w:p>
        </w:tc>
        <w:tc>
          <w:tcPr>
            <w:tcW w:w="1220" w:type="dxa"/>
            <w:vAlign w:val="bottom"/>
            <w:textDirection w:val="btLr"/>
          </w:tcPr>
          <w:p>
            <w:pPr>
              <w:spacing w:after="0"/>
              <w:rPr>
                <w:sz w:val="20"/>
                <w:szCs w:val="20"/>
                <w:color w:val="auto"/>
              </w:rPr>
            </w:pPr>
            <w:r>
              <w:rPr>
                <w:rFonts w:ascii="Arial" w:cs="Arial" w:eastAsia="Arial" w:hAnsi="Arial"/>
                <w:sz w:val="11"/>
                <w:szCs w:val="11"/>
                <w:b w:val="1"/>
                <w:bCs w:val="1"/>
                <w:color w:val="FF0000"/>
                <w:w w:val="75"/>
              </w:rPr>
              <w:t>iscompletebemay</w:t>
            </w:r>
          </w:p>
        </w:tc>
        <w:tc>
          <w:tcPr>
            <w:tcW w:w="400" w:type="dxa"/>
            <w:vAlign w:val="bottom"/>
            <w:textDirection w:val="btLr"/>
          </w:tcPr>
          <w:p>
            <w:pPr>
              <w:spacing w:after="0"/>
              <w:rPr>
                <w:sz w:val="20"/>
                <w:szCs w:val="20"/>
                <w:color w:val="auto"/>
              </w:rPr>
            </w:pPr>
            <w:r>
              <w:rPr>
                <w:rFonts w:ascii="Arial" w:cs="Arial" w:eastAsia="Arial" w:hAnsi="Arial"/>
                <w:sz w:val="16"/>
                <w:szCs w:val="16"/>
                <w:b w:val="1"/>
                <w:bCs w:val="1"/>
                <w:color w:val="FF0000"/>
                <w:w w:val="97"/>
              </w:rPr>
              <w:t>wenor</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rPr>
              <w:t>selling</w:t>
            </w:r>
          </w:p>
        </w:tc>
        <w:tc>
          <w:tcPr>
            <w:tcW w:w="400" w:type="dxa"/>
            <w:vAlign w:val="bottom"/>
            <w:textDirection w:val="btLr"/>
          </w:tcPr>
          <w:p>
            <w:pPr>
              <w:spacing w:after="0"/>
              <w:rPr>
                <w:sz w:val="20"/>
                <w:szCs w:val="20"/>
                <w:color w:val="auto"/>
              </w:rPr>
            </w:pPr>
            <w:r>
              <w:rPr>
                <w:rFonts w:ascii="Arial" w:cs="Arial" w:eastAsia="Arial" w:hAnsi="Arial"/>
                <w:sz w:val="16"/>
                <w:szCs w:val="16"/>
                <w:b w:val="1"/>
                <w:bCs w:val="1"/>
                <w:color w:val="FF0000"/>
              </w:rPr>
              <w:t>sellthese</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rPr>
              <w:t>until</w:t>
            </w:r>
          </w:p>
        </w:tc>
        <w:tc>
          <w:tcPr>
            <w:tcW w:w="620" w:type="dxa"/>
            <w:vAlign w:val="bottom"/>
            <w:textDirection w:val="btLr"/>
          </w:tcPr>
          <w:p>
            <w:pPr>
              <w:spacing w:after="0"/>
              <w:rPr>
                <w:sz w:val="20"/>
                <w:szCs w:val="20"/>
                <w:color w:val="auto"/>
              </w:rPr>
            </w:pPr>
            <w:r>
              <w:rPr>
                <w:rFonts w:ascii="Arial" w:cs="Arial" w:eastAsia="Arial" w:hAnsi="Arial"/>
                <w:sz w:val="16"/>
                <w:szCs w:val="16"/>
                <w:b w:val="1"/>
                <w:bCs w:val="1"/>
                <w:color w:val="FF0000"/>
              </w:rPr>
              <w:t>filed</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rPr>
              <w:t>the</w:t>
            </w:r>
          </w:p>
        </w:tc>
      </w:tr>
      <w:tr>
        <w:trPr>
          <w:trHeight w:val="234"/>
        </w:trPr>
        <w:tc>
          <w:tcPr>
            <w:tcW w:w="180" w:type="dxa"/>
            <w:vAlign w:val="bottom"/>
          </w:tcPr>
          <w:p>
            <w:pPr>
              <w:spacing w:after="0"/>
              <w:rPr>
                <w:sz w:val="20"/>
                <w:szCs w:val="20"/>
                <w:color w:val="auto"/>
              </w:rPr>
            </w:pPr>
          </w:p>
        </w:tc>
        <w:tc>
          <w:tcPr>
            <w:tcW w:w="3240" w:type="dxa"/>
            <w:vAlign w:val="bottom"/>
            <w:gridSpan w:val="7"/>
          </w:tcPr>
          <w:p>
            <w:pPr>
              <w:ind w:left="700"/>
              <w:spacing w:after="0"/>
              <w:rPr>
                <w:sz w:val="20"/>
                <w:szCs w:val="20"/>
                <w:color w:val="auto"/>
              </w:rPr>
            </w:pPr>
            <w:r>
              <w:rPr>
                <w:rFonts w:ascii="Arial" w:cs="Arial" w:eastAsia="Arial" w:hAnsi="Arial"/>
                <w:sz w:val="18"/>
                <w:szCs w:val="18"/>
                <w:b w:val="1"/>
                <w:bCs w:val="1"/>
                <w:color w:val="231F20"/>
                <w:w w:val="99"/>
              </w:rPr>
              <w:t>PRELIMINARY PROSPECTUS</w:t>
            </w: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85"/>
        </w:trPr>
        <w:tc>
          <w:tcPr>
            <w:tcW w:w="160" w:type="dxa"/>
            <w:vAlign w:val="bottom"/>
            <w:vMerge w:val="restart"/>
            <w:textDirection w:val="btLr"/>
          </w:tcPr>
          <w:p>
            <w:pPr>
              <w:ind w:left="18"/>
              <w:spacing w:after="0"/>
              <w:rPr>
                <w:sz w:val="20"/>
                <w:szCs w:val="20"/>
                <w:color w:val="auto"/>
              </w:rPr>
            </w:pPr>
            <w:r>
              <w:rPr>
                <w:rFonts w:ascii="Arial" w:cs="Arial" w:eastAsia="Arial" w:hAnsi="Arial"/>
                <w:sz w:val="10"/>
                <w:szCs w:val="10"/>
                <w:b w:val="1"/>
                <w:bCs w:val="1"/>
                <w:color w:val="FF0000"/>
                <w:w w:val="70"/>
              </w:rPr>
              <w:t>andSecurities</w:t>
            </w:r>
          </w:p>
        </w:tc>
        <w:tc>
          <w:tcPr>
            <w:tcW w:w="740" w:type="dxa"/>
            <w:vAlign w:val="bottom"/>
          </w:tcPr>
          <w:p>
            <w:pPr>
              <w:ind w:left="140"/>
              <w:spacing w:after="0"/>
              <w:rPr>
                <w:sz w:val="20"/>
                <w:szCs w:val="20"/>
                <w:color w:val="auto"/>
              </w:rPr>
            </w:pPr>
            <w:r>
              <w:rPr>
                <w:rFonts w:ascii="Arial" w:cs="Arial" w:eastAsia="Arial" w:hAnsi="Arial"/>
                <w:sz w:val="17"/>
                <w:szCs w:val="17"/>
                <w:b w:val="1"/>
                <w:bCs w:val="1"/>
                <w:color w:val="EA1D2D"/>
                <w:w w:val="94"/>
              </w:rPr>
              <w:t>Subject</w:t>
            </w:r>
            <w:r>
              <w:rPr>
                <w:rFonts w:ascii="Arial" w:cs="Arial" w:eastAsia="Arial" w:hAnsi="Arial"/>
                <w:sz w:val="16"/>
                <w:szCs w:val="16"/>
                <w:b w:val="1"/>
                <w:bCs w:val="1"/>
                <w:color w:val="FF0000"/>
                <w:w w:val="94"/>
              </w:rPr>
              <w:t>is This</w:t>
            </w:r>
          </w:p>
        </w:tc>
        <w:tc>
          <w:tcPr>
            <w:tcW w:w="2280" w:type="dxa"/>
            <w:vAlign w:val="bottom"/>
            <w:gridSpan w:val="7"/>
          </w:tcPr>
          <w:p>
            <w:pPr>
              <w:ind w:left="20"/>
              <w:spacing w:after="0"/>
              <w:rPr>
                <w:sz w:val="20"/>
                <w:szCs w:val="20"/>
                <w:color w:val="auto"/>
              </w:rPr>
            </w:pPr>
            <w:r>
              <w:rPr>
                <w:rFonts w:ascii="Arial" w:cs="Arial" w:eastAsia="Arial" w:hAnsi="Arial"/>
                <w:sz w:val="18"/>
                <w:szCs w:val="18"/>
                <w:b w:val="1"/>
                <w:bCs w:val="1"/>
                <w:color w:val="EA1D2D"/>
                <w:w w:val="84"/>
              </w:rPr>
              <w:t>to Completion,</w:t>
            </w:r>
            <w:r>
              <w:rPr>
                <w:rFonts w:ascii="Arial" w:cs="Arial" w:eastAsia="Arial" w:hAnsi="Arial"/>
                <w:sz w:val="16"/>
                <w:szCs w:val="16"/>
                <w:b w:val="1"/>
                <w:bCs w:val="1"/>
                <w:color w:val="FF0000"/>
                <w:w w:val="84"/>
              </w:rPr>
              <w:t>to   and   to</w:t>
            </w:r>
            <w:r>
              <w:rPr>
                <w:rFonts w:ascii="Arial" w:cs="Arial" w:eastAsia="Arial" w:hAnsi="Arial"/>
                <w:sz w:val="18"/>
                <w:szCs w:val="18"/>
                <w:b w:val="1"/>
                <w:bCs w:val="1"/>
                <w:color w:val="EA1D2D"/>
                <w:w w:val="84"/>
              </w:rPr>
              <w:t>Dated March</w:t>
            </w:r>
            <w:r>
              <w:rPr>
                <w:rFonts w:ascii="Arial" w:cs="Arial" w:eastAsia="Arial" w:hAnsi="Arial"/>
                <w:sz w:val="16"/>
                <w:szCs w:val="16"/>
                <w:b w:val="1"/>
                <w:bCs w:val="1"/>
                <w:color w:val="FF0000"/>
                <w:w w:val="84"/>
              </w:rPr>
              <w:t>offer</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EA1D2D"/>
                <w:w w:val="85"/>
              </w:rPr>
              <w:t>18, 2022</w:t>
            </w:r>
          </w:p>
        </w:tc>
        <w:tc>
          <w:tcPr>
            <w:tcW w:w="0" w:type="dxa"/>
            <w:vAlign w:val="bottom"/>
          </w:tcPr>
          <w:p>
            <w:pPr>
              <w:spacing w:after="0"/>
              <w:rPr>
                <w:sz w:val="1"/>
                <w:szCs w:val="1"/>
                <w:color w:val="auto"/>
              </w:rPr>
            </w:pPr>
          </w:p>
        </w:tc>
      </w:tr>
      <w:tr>
        <w:trPr>
          <w:trHeight w:val="0"/>
        </w:trPr>
        <w:tc>
          <w:tcPr>
            <w:tcW w:w="160" w:type="dxa"/>
            <w:vAlign w:val="bottom"/>
            <w:vMerge w:val="continue"/>
          </w:tcPr>
          <w:p>
            <w:pPr>
              <w:spacing w:after="0" w:line="20" w:lineRule="exact"/>
              <w:rPr>
                <w:sz w:val="1"/>
                <w:szCs w:val="1"/>
                <w:color w:val="auto"/>
              </w:rPr>
            </w:pPr>
          </w:p>
        </w:tc>
        <w:tc>
          <w:tcPr>
            <w:tcW w:w="1020" w:type="dxa"/>
            <w:vAlign w:val="bottom"/>
            <w:gridSpan w:val="2"/>
            <w:textDirection w:val="btLr"/>
          </w:tcPr>
          <w:p>
            <w:pPr>
              <w:spacing w:after="0"/>
              <w:rPr>
                <w:sz w:val="20"/>
                <w:szCs w:val="20"/>
                <w:color w:val="auto"/>
              </w:rPr>
            </w:pPr>
            <w:r>
              <w:rPr>
                <w:rFonts w:ascii="Arial" w:cs="Arial" w:eastAsia="Arial" w:hAnsi="Arial"/>
                <w:sz w:val="1"/>
                <w:szCs w:val="1"/>
                <w:b w:val="1"/>
                <w:bCs w:val="1"/>
                <w:color w:val="FF0000"/>
                <w:w w:val="7"/>
              </w:rPr>
              <w:t>ExchangeCommissioneffective.preliminaryprospectus</w:t>
            </w:r>
          </w:p>
        </w:tc>
        <w:tc>
          <w:tcPr>
            <w:tcW w:w="200" w:type="dxa"/>
            <w:vAlign w:val="bottom"/>
            <w:textDirection w:val="btLr"/>
          </w:tcPr>
          <w:p>
            <w:pPr>
              <w:ind w:left="156"/>
              <w:spacing w:after="0"/>
              <w:rPr>
                <w:sz w:val="20"/>
                <w:szCs w:val="20"/>
                <w:color w:val="auto"/>
              </w:rPr>
            </w:pPr>
            <w:r>
              <w:rPr>
                <w:rFonts w:ascii="Arial" w:cs="Arial" w:eastAsia="Arial" w:hAnsi="Arial"/>
                <w:sz w:val="1"/>
                <w:szCs w:val="1"/>
                <w:b w:val="1"/>
                <w:bCs w:val="1"/>
                <w:color w:val="FF0000"/>
                <w:w w:val="39"/>
              </w:rPr>
              <w:t>notanoffer</w:t>
            </w:r>
          </w:p>
        </w:tc>
        <w:tc>
          <w:tcPr>
            <w:tcW w:w="600" w:type="dxa"/>
            <w:vAlign w:val="bottom"/>
            <w:textDirection w:val="btLr"/>
          </w:tcPr>
          <w:p>
            <w:pPr>
              <w:ind w:left="563"/>
              <w:spacing w:after="0"/>
              <w:rPr>
                <w:sz w:val="20"/>
                <w:szCs w:val="20"/>
                <w:color w:val="auto"/>
              </w:rPr>
            </w:pPr>
            <w:r>
              <w:rPr>
                <w:rFonts w:ascii="Arial" w:cs="Arial" w:eastAsia="Arial" w:hAnsi="Arial"/>
                <w:sz w:val="1"/>
                <w:szCs w:val="1"/>
                <w:b w:val="1"/>
                <w:bCs w:val="1"/>
                <w:color w:val="FF0000"/>
                <w:w w:val="12"/>
              </w:rPr>
              <w:t>sellthesesecuritiesisnotsoliciting</w:t>
            </w:r>
          </w:p>
        </w:tc>
        <w:tc>
          <w:tcPr>
            <w:tcW w:w="200" w:type="dxa"/>
            <w:vAlign w:val="bottom"/>
            <w:textDirection w:val="btLr"/>
          </w:tcPr>
          <w:p>
            <w:pPr>
              <w:ind w:left="166"/>
              <w:spacing w:after="0"/>
              <w:rPr>
                <w:sz w:val="20"/>
                <w:szCs w:val="20"/>
                <w:color w:val="auto"/>
              </w:rPr>
            </w:pPr>
            <w:r>
              <w:rPr>
                <w:rFonts w:ascii="Arial" w:cs="Arial" w:eastAsia="Arial" w:hAnsi="Arial"/>
                <w:sz w:val="1"/>
                <w:szCs w:val="1"/>
                <w:b w:val="1"/>
                <w:bCs w:val="1"/>
                <w:color w:val="FF0000"/>
                <w:w w:val="57"/>
              </w:rPr>
              <w:t>anoffer</w:t>
            </w:r>
          </w:p>
        </w:tc>
        <w:tc>
          <w:tcPr>
            <w:tcW w:w="200" w:type="dxa"/>
            <w:vAlign w:val="bottom"/>
            <w:textDirection w:val="btLr"/>
          </w:tcPr>
          <w:p>
            <w:pPr>
              <w:ind w:left="168"/>
              <w:spacing w:after="0"/>
              <w:rPr>
                <w:sz w:val="20"/>
                <w:szCs w:val="20"/>
                <w:color w:val="auto"/>
              </w:rPr>
            </w:pPr>
            <w:r>
              <w:rPr>
                <w:rFonts w:ascii="Arial" w:cs="Arial" w:eastAsia="Arial" w:hAnsi="Arial"/>
                <w:sz w:val="1"/>
                <w:szCs w:val="1"/>
                <w:b w:val="1"/>
                <w:bCs w:val="1"/>
                <w:color w:val="FF0000"/>
                <w:w w:val="26"/>
              </w:rPr>
              <w:t>thesesecurities</w:t>
            </w:r>
          </w:p>
        </w:tc>
        <w:tc>
          <w:tcPr>
            <w:tcW w:w="620" w:type="dxa"/>
            <w:vAlign w:val="bottom"/>
            <w:textDirection w:val="btLr"/>
          </w:tcPr>
          <w:p>
            <w:pPr>
              <w:ind w:left="577"/>
              <w:spacing w:after="0"/>
              <w:rPr>
                <w:sz w:val="20"/>
                <w:szCs w:val="20"/>
                <w:color w:val="auto"/>
              </w:rPr>
            </w:pPr>
            <w:r>
              <w:rPr>
                <w:rFonts w:ascii="Arial" w:cs="Arial" w:eastAsia="Arial" w:hAnsi="Arial"/>
                <w:sz w:val="1"/>
                <w:szCs w:val="1"/>
                <w:b w:val="1"/>
                <w:bCs w:val="1"/>
                <w:color w:val="FF0000"/>
                <w:w w:val="15"/>
              </w:rPr>
              <w:t>inanyjurisdictionwherethe</w:t>
            </w:r>
          </w:p>
        </w:tc>
        <w:tc>
          <w:tcPr>
            <w:tcW w:w="180" w:type="dxa"/>
            <w:vAlign w:val="bottom"/>
            <w:textDirection w:val="btLr"/>
          </w:tcPr>
          <w:p>
            <w:pPr>
              <w:ind w:left="159"/>
              <w:spacing w:after="0"/>
              <w:rPr>
                <w:sz w:val="20"/>
                <w:szCs w:val="20"/>
                <w:color w:val="auto"/>
              </w:rPr>
            </w:pPr>
            <w:r>
              <w:rPr>
                <w:rFonts w:ascii="Arial" w:cs="Arial" w:eastAsia="Arial" w:hAnsi="Arial"/>
                <w:sz w:val="1"/>
                <w:szCs w:val="1"/>
                <w:b w:val="1"/>
                <w:bCs w:val="1"/>
                <w:color w:val="FF0000"/>
                <w:w w:val="51"/>
              </w:rPr>
              <w:t>orsaleis</w:t>
            </w:r>
          </w:p>
        </w:tc>
        <w:tc>
          <w:tcPr>
            <w:tcW w:w="620" w:type="dxa"/>
            <w:vAlign w:val="bottom"/>
            <w:textDirection w:val="btLr"/>
          </w:tcPr>
          <w:p>
            <w:pPr>
              <w:ind w:right="379"/>
              <w:spacing w:after="0"/>
              <w:rPr>
                <w:sz w:val="20"/>
                <w:szCs w:val="20"/>
                <w:color w:val="auto"/>
              </w:rPr>
            </w:pPr>
            <w:r>
              <w:rPr>
                <w:rFonts w:ascii="Arial" w:cs="Arial" w:eastAsia="Arial" w:hAnsi="Arial"/>
                <w:sz w:val="1"/>
                <w:szCs w:val="1"/>
                <w:b w:val="1"/>
                <w:bCs w:val="1"/>
                <w:color w:val="FF0000"/>
                <w:w w:val="40"/>
              </w:rPr>
              <w:t>permitted.</w:t>
            </w:r>
          </w:p>
        </w:tc>
        <w:tc>
          <w:tcPr>
            <w:tcW w:w="0" w:type="dxa"/>
            <w:vAlign w:val="bottom"/>
          </w:tcPr>
          <w:p>
            <w:pPr>
              <w:spacing w:after="0" w:line="20" w:lineRule="exact"/>
              <w:rPr>
                <w:sz w:val="1"/>
                <w:szCs w:val="1"/>
                <w:color w:val="auto"/>
              </w:rPr>
            </w:pPr>
          </w:p>
        </w:tc>
      </w:tr>
      <w:tr>
        <w:trPr>
          <w:trHeight w:val="328"/>
        </w:trPr>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extDirection w:val="btLr"/>
          </w:tcPr>
          <w:p>
            <w:pPr>
              <w:spacing w:after="0"/>
              <w:rPr>
                <w:sz w:val="20"/>
                <w:szCs w:val="20"/>
                <w:color w:val="auto"/>
              </w:rPr>
            </w:pPr>
            <w:r>
              <w:rPr>
                <w:rFonts w:ascii="Arial" w:cs="Arial" w:eastAsia="Arial" w:hAnsi="Arial"/>
                <w:sz w:val="16"/>
                <w:szCs w:val="16"/>
                <w:b w:val="1"/>
                <w:bCs w:val="1"/>
                <w:color w:val="FF0000"/>
              </w:rPr>
              <w:t>is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rPr>
              <w:t>buy</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0000"/>
              </w:rPr>
              <w:t>not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237490</wp:posOffset>
            </wp:positionV>
            <wp:extent cx="368617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6175" cy="420370"/>
                    </a:xfrm>
                    <a:prstGeom prst="rect">
                      <a:avLst/>
                    </a:prstGeom>
                    <a:noFill/>
                  </pic:spPr>
                </pic:pic>
              </a:graphicData>
            </a:graphic>
          </wp:anchor>
        </w:drawing>
      </w:r>
    </w:p>
    <w:p>
      <w:pPr>
        <w:spacing w:after="0" w:line="455" w:lineRule="exact"/>
        <w:rPr>
          <w:sz w:val="20"/>
          <w:szCs w:val="20"/>
          <w:color w:val="auto"/>
        </w:rPr>
      </w:pPr>
    </w:p>
    <w:p>
      <w:pPr>
        <w:sectPr>
          <w:pgSz w:w="11900" w:h="16838" w:orient="portrait"/>
          <w:cols w:equalWidth="0" w:num="2">
            <w:col w:w="3420" w:space="40"/>
            <w:col w:w="6680"/>
          </w:cols>
          <w:pgMar w:left="760" w:top="51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79"/>
        <w:spacing w:after="0"/>
        <w:rPr>
          <w:sz w:val="20"/>
          <w:szCs w:val="20"/>
          <w:color w:val="auto"/>
        </w:rPr>
      </w:pPr>
      <w:r>
        <w:rPr>
          <w:rFonts w:ascii="Arial" w:cs="Arial" w:eastAsia="Arial" w:hAnsi="Arial"/>
          <w:sz w:val="32"/>
          <w:szCs w:val="32"/>
          <w:b w:val="1"/>
          <w:bCs w:val="1"/>
          <w:color w:val="231F20"/>
        </w:rPr>
        <w:t>Lordstown Motors Corp.</w:t>
      </w:r>
    </w:p>
    <w:p>
      <w:pPr>
        <w:spacing w:after="0" w:line="109" w:lineRule="exact"/>
        <w:rPr>
          <w:sz w:val="20"/>
          <w:szCs w:val="20"/>
          <w:color w:val="auto"/>
        </w:rPr>
      </w:pPr>
    </w:p>
    <w:p>
      <w:pPr>
        <w:ind w:left="2800"/>
        <w:spacing w:after="0"/>
        <w:rPr>
          <w:sz w:val="20"/>
          <w:szCs w:val="20"/>
          <w:color w:val="auto"/>
        </w:rPr>
      </w:pPr>
      <w:r>
        <w:rPr>
          <w:rFonts w:ascii="Arial" w:cs="Arial" w:eastAsia="Arial" w:hAnsi="Arial"/>
          <w:sz w:val="25"/>
          <w:szCs w:val="25"/>
          <w:b w:val="1"/>
          <w:bCs w:val="1"/>
          <w:color w:val="auto"/>
        </w:rPr>
        <w:t>Up to 72,133,238 Shares of Class A Common Stock</w:t>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auto"/>
        </w:rPr>
        <w:t>Up to 2,314,418 Shares of Class A Common Stock Issuable Upon Exercise of</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Up to 2,314,418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71120</wp:posOffset>
            </wp:positionV>
            <wp:extent cx="1577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6" w:lineRule="exact"/>
        <w:rPr>
          <w:sz w:val="20"/>
          <w:szCs w:val="20"/>
          <w:color w:val="auto"/>
        </w:rPr>
      </w:pPr>
    </w:p>
    <w:p>
      <w:pPr>
        <w:ind w:left="880" w:right="100" w:firstLine="324"/>
        <w:spacing w:after="0" w:line="301" w:lineRule="auto"/>
        <w:rPr>
          <w:sz w:val="20"/>
          <w:szCs w:val="20"/>
          <w:color w:val="auto"/>
        </w:rPr>
      </w:pPr>
      <w:r>
        <w:rPr>
          <w:rFonts w:ascii="Arial" w:cs="Arial" w:eastAsia="Arial" w:hAnsi="Arial"/>
          <w:sz w:val="16"/>
          <w:szCs w:val="16"/>
          <w:color w:val="auto"/>
        </w:rPr>
        <w:t>This prospectus relates to the issuance by us of up to an aggregate of up to 2,314,418 shares of our Class A common stock, $0.0001 par value per share (“Class A common stock”), that are issuable upon the exercise of 2,314,418 warrants (the “Private Placement Warrants”) originally issued in a private placement in connection with the initial public offering of DiamondPeak Holdings Corp. (“DiamondPeak”). We will receive the proceeds from any exercise of any Private Placement Warrants for cash.</w:t>
      </w:r>
    </w:p>
    <w:p>
      <w:pPr>
        <w:spacing w:after="0" w:line="157" w:lineRule="exact"/>
        <w:rPr>
          <w:sz w:val="20"/>
          <w:szCs w:val="20"/>
          <w:color w:val="auto"/>
        </w:rPr>
      </w:pPr>
    </w:p>
    <w:p>
      <w:pPr>
        <w:ind w:left="880" w:right="180" w:firstLine="324"/>
        <w:spacing w:after="0" w:line="254" w:lineRule="auto"/>
        <w:rPr>
          <w:sz w:val="20"/>
          <w:szCs w:val="20"/>
          <w:color w:val="auto"/>
        </w:rPr>
      </w:pPr>
      <w:r>
        <w:rPr>
          <w:rFonts w:ascii="Arial" w:cs="Arial" w:eastAsia="Arial" w:hAnsi="Arial"/>
          <w:sz w:val="18"/>
          <w:szCs w:val="18"/>
          <w:color w:val="auto"/>
        </w:rPr>
        <w:t>This prospectus also relates to the offer and sale from time to time by the selling securityholders named in this prospectus (the “Selling Securityholders”) of (i) up to 72,133,238 shares of Class A common stock (including up to 1,220,230 shares of Class A common stock that have been issued and up to 2,314,418 shares of Class A common stock that may be issued upon exercise of the Private Placement Warrants and up to 1,649,489 shares of Class A common stock that may be issued upon exercise of BGL Warrants (as defined below)) and (ii) up to 2,314,418 Private Placement Warrants. We will not receive any proceeds from the sale of any shares of Class A common stock or Private Placement Warrants by the Selling Securityholders pursuant to this prospectus.</w:t>
      </w:r>
    </w:p>
    <w:p>
      <w:pPr>
        <w:spacing w:after="0" w:line="195" w:lineRule="exact"/>
        <w:rPr>
          <w:sz w:val="20"/>
          <w:szCs w:val="20"/>
          <w:color w:val="auto"/>
        </w:rPr>
      </w:pPr>
    </w:p>
    <w:p>
      <w:pPr>
        <w:ind w:left="880" w:right="40" w:firstLine="324"/>
        <w:spacing w:after="0" w:line="255" w:lineRule="auto"/>
        <w:rPr>
          <w:sz w:val="20"/>
          <w:szCs w:val="20"/>
          <w:color w:val="auto"/>
        </w:rPr>
      </w:pPr>
      <w:r>
        <w:rPr>
          <w:rFonts w:ascii="Arial" w:cs="Arial" w:eastAsia="Arial" w:hAnsi="Arial"/>
          <w:sz w:val="18"/>
          <w:szCs w:val="18"/>
          <w:color w:val="auto"/>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securities. The Selling Securityholders may sell the shares of Class A common stock and Private Placement Warrants covered by this prospectus in a number of different ways and at varying prices. We provide more information about how the Selling Securityholders may sell the securities in the section entitled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of Distribution</w:t>
      </w:r>
      <w:r>
        <w:rPr>
          <w:rFonts w:ascii="Arial" w:cs="Arial" w:eastAsia="Arial" w:hAnsi="Arial"/>
          <w:sz w:val="18"/>
          <w:szCs w:val="18"/>
          <w:color w:val="auto"/>
        </w:rPr>
        <w:t>.”</w:t>
      </w:r>
    </w:p>
    <w:p>
      <w:pPr>
        <w:spacing w:after="0" w:line="192" w:lineRule="exact"/>
        <w:rPr>
          <w:sz w:val="20"/>
          <w:szCs w:val="20"/>
          <w:color w:val="auto"/>
        </w:rPr>
      </w:pPr>
    </w:p>
    <w:p>
      <w:pPr>
        <w:ind w:left="880" w:right="220" w:firstLine="324"/>
        <w:spacing w:after="0" w:line="277" w:lineRule="auto"/>
        <w:rPr>
          <w:sz w:val="20"/>
          <w:szCs w:val="20"/>
          <w:color w:val="auto"/>
        </w:rPr>
      </w:pPr>
      <w:r>
        <w:rPr>
          <w:rFonts w:ascii="Arial" w:cs="Arial" w:eastAsia="Arial" w:hAnsi="Arial"/>
          <w:sz w:val="18"/>
          <w:szCs w:val="18"/>
          <w:color w:val="auto"/>
        </w:rPr>
        <w:t>Our Class A common stock is listed on the Nasdaq Global Select Market under the symbol “RIDE.” On March 17, 2022, the closing price of our Class A common stock was $2.70 per share.</w:t>
      </w:r>
    </w:p>
    <w:p>
      <w:pPr>
        <w:spacing w:after="0" w:line="166" w:lineRule="exact"/>
        <w:rPr>
          <w:sz w:val="20"/>
          <w:szCs w:val="20"/>
          <w:color w:val="auto"/>
        </w:rPr>
      </w:pPr>
    </w:p>
    <w:p>
      <w:pPr>
        <w:ind w:left="880" w:right="520" w:firstLine="324"/>
        <w:spacing w:after="0" w:line="282" w:lineRule="auto"/>
        <w:rPr>
          <w:sz w:val="20"/>
          <w:szCs w:val="20"/>
          <w:color w:val="auto"/>
        </w:rPr>
      </w:pPr>
      <w:r>
        <w:rPr>
          <w:rFonts w:ascii="Arial" w:cs="Arial" w:eastAsia="Arial" w:hAnsi="Arial"/>
          <w:sz w:val="18"/>
          <w:szCs w:val="18"/>
          <w:b w:val="1"/>
          <w:bCs w:val="1"/>
          <w:color w:val="auto"/>
        </w:rPr>
        <w:t>See the section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5 of this prospectus to read about factors you should consider before buying our securities.</w:t>
      </w:r>
    </w:p>
    <w:p>
      <w:pPr>
        <w:spacing w:after="0" w:line="162" w:lineRule="exact"/>
        <w:rPr>
          <w:sz w:val="20"/>
          <w:szCs w:val="20"/>
          <w:color w:val="auto"/>
        </w:rPr>
      </w:pPr>
    </w:p>
    <w:p>
      <w:pPr>
        <w:ind w:left="880" w:right="12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160" w:type="dxa"/>
            <w:vAlign w:val="bottom"/>
          </w:tcPr>
          <w:p>
            <w:pPr>
              <w:ind w:left="3640"/>
              <w:spacing w:after="0"/>
              <w:rPr>
                <w:sz w:val="20"/>
                <w:szCs w:val="20"/>
                <w:color w:val="auto"/>
              </w:rPr>
            </w:pPr>
            <w:r>
              <w:rPr>
                <w:rFonts w:ascii="Arial" w:cs="Arial" w:eastAsia="Arial" w:hAnsi="Arial"/>
                <w:sz w:val="18"/>
                <w:szCs w:val="18"/>
                <w:b w:val="1"/>
                <w:bCs w:val="1"/>
                <w:color w:val="231F20"/>
                <w:w w:val="97"/>
              </w:rPr>
              <w:t>The date of this prospectus is</w:t>
            </w:r>
          </w:p>
        </w:tc>
        <w:tc>
          <w:tcPr>
            <w:tcW w:w="3760" w:type="dxa"/>
            <w:vAlign w:val="bottom"/>
          </w:tcPr>
          <w:p>
            <w:pPr>
              <w:jc w:val="right"/>
              <w:ind w:right="2890"/>
              <w:spacing w:after="0"/>
              <w:rPr>
                <w:sz w:val="20"/>
                <w:szCs w:val="20"/>
                <w:color w:val="auto"/>
              </w:rPr>
            </w:pPr>
            <w:r>
              <w:rPr>
                <w:rFonts w:ascii="Arial" w:cs="Arial" w:eastAsia="Arial" w:hAnsi="Arial"/>
                <w:sz w:val="18"/>
                <w:szCs w:val="18"/>
                <w:b w:val="1"/>
                <w:bCs w:val="1"/>
                <w:color w:val="231F20"/>
              </w:rPr>
              <w:t>, 2022.</w:t>
            </w:r>
          </w:p>
        </w:tc>
      </w:tr>
      <w:tr>
        <w:trPr>
          <w:trHeight w:val="2450"/>
        </w:trPr>
        <w:tc>
          <w:tcPr>
            <w:tcW w:w="6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0140"/>
          </w:cols>
          <w:pgMar w:left="760" w:top="517"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231F20"/>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20" w:type="dxa"/>
            <w:vAlign w:val="bottom"/>
            <w:tcBorders>
              <w:top w:val="single" w:sz="8" w:color="CCEEFF"/>
              <w:bottom w:val="single" w:sz="8" w:color="0000EE"/>
            </w:tcBorders>
            <w:gridSpan w:val="10"/>
            <w:shd w:val="clear" w:color="auto" w:fill="CCEEFF"/>
          </w:tcPr>
          <w:p>
            <w:pPr>
              <w:spacing w:after="0" w:line="169"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7200" w:type="dxa"/>
            <w:vAlign w:val="bottom"/>
            <w:tcBorders>
              <w:top w:val="single" w:sz="8" w:color="CCEEFF"/>
              <w:bottom w:val="single" w:sz="8" w:color="CCEEFF"/>
            </w:tcBorders>
            <w:gridSpan w:val="12"/>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RISK FACTORS</w:t>
              </w:r>
            </w:hyperlink>
          </w:p>
        </w:tc>
        <w:tc>
          <w:tcPr>
            <w:tcW w:w="8180" w:type="dxa"/>
            <w:vAlign w:val="bottom"/>
            <w:tcBorders>
              <w:bottom w:val="single" w:sz="8" w:color="CCEEFF"/>
            </w:tcBorders>
            <w:gridSpan w:val="18"/>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DETERMINATION OF OFFERING PRICE</w:t>
              </w:r>
            </w:hyperlink>
          </w:p>
        </w:tc>
        <w:tc>
          <w:tcPr>
            <w:tcW w:w="6200" w:type="dxa"/>
            <w:vAlign w:val="bottom"/>
            <w:tcBorders>
              <w:bottom w:val="single" w:sz="8" w:color="CCEEFF"/>
            </w:tcBorders>
            <w:gridSpan w:val="7"/>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MARKET INFORMATION FOR CLASS A COMMON STOCK AND DIVIDEND POLICY</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0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BUSINESS</w:t>
              </w:r>
            </w:hyperlink>
          </w:p>
        </w:tc>
        <w:tc>
          <w:tcPr>
            <w:tcW w:w="5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MANAGEMENT</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CERTAIN RELATIONSHIPS AND RELATED PARTY TRANSACTIONS</w:t>
              </w:r>
            </w:hyperlink>
          </w:p>
        </w:tc>
        <w:tc>
          <w:tcPr>
            <w:tcW w:w="3960" w:type="dxa"/>
            <w:vAlign w:val="bottom"/>
            <w:tcBorders>
              <w:bottom w:val="single" w:sz="8" w:color="CCEEFF"/>
            </w:tcBorders>
            <w:gridSpan w:val="5"/>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PRINCIPAL SECURITYHOLDERS</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SELLING SECURITYHOLDERS</w:t>
              </w:r>
            </w:hyperlink>
          </w:p>
        </w:tc>
        <w:tc>
          <w:tcPr>
            <w:tcW w:w="6920" w:type="dxa"/>
            <w:vAlign w:val="bottom"/>
            <w:tcBorders>
              <w:bottom w:val="single" w:sz="8" w:color="CCEEFF"/>
            </w:tcBorders>
            <w:gridSpan w:val="10"/>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DESCRIPTION OF SECURITIES</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PLAN OF DISTRIBUTION</w:t>
              </w:r>
            </w:hyperlink>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22"/>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MATERIAL UNITED STATES FEDERAL INCOME TAX CONSEQUENCES TO HOLDERS</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LEGAL MATTERS</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EXPERTS</w:t>
              </w:r>
            </w:hyperlink>
          </w:p>
        </w:tc>
        <w:tc>
          <w:tcPr>
            <w:tcW w:w="7980" w:type="dxa"/>
            <w:vAlign w:val="bottom"/>
            <w:tcBorders>
              <w:top w:val="single" w:sz="8" w:color="CCEEFF"/>
            </w:tcBorders>
            <w:gridSpan w:val="15"/>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WHERE YOU CAN FIND MORE INFORMATION</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INDEX TO FINANCIAL STATEMENTS</w:t>
              </w:r>
            </w:hyperlink>
          </w:p>
        </w:tc>
        <w:tc>
          <w:tcPr>
            <w:tcW w:w="5620" w:type="dxa"/>
            <w:vAlign w:val="bottom"/>
            <w:tcBorders>
              <w:top w:val="single" w:sz="8" w:color="CCEEFF"/>
            </w:tcBorders>
            <w:gridSpan w:val="6"/>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the Private Placement Warrants. We will receive proceeds from any exercise of the Private Placement Warrants or the BGL Warrants (as defined below) for cash.</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Securityholders will make an offer to sell these securities in any jurisdiction where the offer or sale is not permitted.</w:t>
      </w:r>
    </w:p>
    <w:p>
      <w:pPr>
        <w:spacing w:after="0" w:line="18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1"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On October 23, 2020 (the “Closing Date”), DiamondPeak Holdings Corp., our predecessor company (“DiamondPeak”), consummated the previously announced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92"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Unless the context indicates otherwise, references in this prospectus to the “Company,” “Lordstown,” “we,” “us,” “our” and similar terms refer to Lordstown Motors Corp. (f/k/a DiamondPeak Holdings Corp.) and its consolidated subsidiaries (including Legacy Lordstown). References to “DiamondPeak” refer to our predecessor company prior to the consummation of the Business Combination.</w:t>
      </w:r>
    </w:p>
    <w:p>
      <w:pPr>
        <w:spacing w:after="0" w:line="14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This prospectus contains our registered and unregistered trademarks and service marks, as well as trademarks and service marks of third parties. Solely for convenience, these trademarks and service marks are referenced without the ®, ™ or similar symbols, but such references are not intended to indicate, in any way, that we will not assert, to the fullest extent under applicable law, our rights to these trademarks and service marks. All brand names,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This prospectus contains statements that are forward-looking and as such are not historical facts. This includes, without limitation, statements regarding the financial position, capital structure, dividends, indebtedness, business strategy and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“continue,” “could,” “estimate,” “expect,” “intend,” “may,” “might,” “plan,” “possible,” “potential,” “predict,” “project,” “should,” “strive,” “target,” “would” and similar expressions may identify forward-looking statements, but the absence of these words does not mean that a statement is not forward-looking.</w:t>
      </w:r>
    </w:p>
    <w:p>
      <w:pPr>
        <w:spacing w:after="0" w:line="166"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the assumptions prove incorrect, actual results may vary in material respects from those projected in these forward-looking statements. Factors that may cause such differences include, but are not limited to:</w:t>
      </w:r>
    </w:p>
    <w:p>
      <w:pPr>
        <w:spacing w:after="0" w:line="188" w:lineRule="exact"/>
        <w:rPr>
          <w:sz w:val="20"/>
          <w:szCs w:val="20"/>
          <w:color w:val="auto"/>
        </w:rPr>
      </w:pPr>
    </w:p>
    <w:p>
      <w:pPr>
        <w:ind w:left="680" w:right="140" w:hanging="321"/>
        <w:spacing w:after="0" w:line="259"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consummate and realize the benefits from our pending transactions with Foxconn under the Asset Purchase Agreement (as described in “</w:t>
      </w:r>
      <w:r>
        <w:rPr>
          <w:rFonts w:ascii="Arial" w:cs="Arial" w:eastAsia="Arial" w:hAnsi="Arial"/>
          <w:sz w:val="18"/>
          <w:szCs w:val="18"/>
          <w:i w:val="1"/>
          <w:iCs w:val="1"/>
          <w:color w:val="auto"/>
        </w:rPr>
        <w:t>Business — Overview</w:t>
      </w:r>
      <w:r>
        <w:rPr>
          <w:rFonts w:ascii="Arial" w:cs="Arial" w:eastAsia="Arial" w:hAnsi="Arial"/>
          <w:sz w:val="18"/>
          <w:szCs w:val="18"/>
          <w:color w:val="auto"/>
        </w:rPr>
        <w:t>”), that is subject to various conditions to closing, including the entry into a contract manufacturing agreement and the receipt of regulatory approvals, and our ability to enter into a joint product development agreement or similar agreement and appropriate funding structure;</w:t>
      </w:r>
    </w:p>
    <w:p>
      <w:pPr>
        <w:spacing w:after="0" w:line="78" w:lineRule="exact"/>
        <w:rPr>
          <w:rFonts w:ascii="Arial" w:cs="Arial" w:eastAsia="Arial" w:hAnsi="Arial"/>
          <w:sz w:val="18"/>
          <w:szCs w:val="18"/>
          <w:color w:val="auto"/>
        </w:rPr>
      </w:pPr>
    </w:p>
    <w:p>
      <w:pPr>
        <w:jc w:val="both"/>
        <w:ind w:left="680" w:right="160" w:hanging="321"/>
        <w:spacing w:after="0" w:line="263"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as a going concern, which requires us to manage costs and obtain significant additional funding well in advance of our target of third quarter 2022 for the start of commercial production and sale of the Endurance, and our ability to raise such funding on a reasonable timeline and with suitable terms;</w:t>
      </w:r>
    </w:p>
    <w:p>
      <w:pPr>
        <w:spacing w:after="0" w:line="75" w:lineRule="exact"/>
        <w:rPr>
          <w:rFonts w:ascii="Arial" w:cs="Arial" w:eastAsia="Arial" w:hAnsi="Arial"/>
          <w:sz w:val="18"/>
          <w:szCs w:val="18"/>
          <w:color w:val="auto"/>
        </w:rPr>
      </w:pPr>
    </w:p>
    <w:p>
      <w:pPr>
        <w:ind w:left="680" w:right="240" w:hanging="321"/>
        <w:spacing w:after="0" w:line="263"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sufficient capital in the future in order to invest in the tooling that we expect will enable us to eventually lower the Endurance bill of materials cost, continued design enhancements of the Endurance and any future vehicles we may develop;</w:t>
      </w:r>
    </w:p>
    <w:p>
      <w:pPr>
        <w:spacing w:after="0" w:line="75" w:lineRule="exact"/>
        <w:rPr>
          <w:rFonts w:ascii="Arial" w:cs="Arial" w:eastAsia="Arial" w:hAnsi="Arial"/>
          <w:sz w:val="18"/>
          <w:szCs w:val="18"/>
          <w:color w:val="auto"/>
        </w:rPr>
      </w:pPr>
    </w:p>
    <w:p>
      <w:pPr>
        <w:ind w:left="680" w:right="180" w:hanging="321"/>
        <w:spacing w:after="0" w:line="263"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 and other impacts of litigation, regulatory proceedings, investigations, complaints, product liability claims and/or adverse publicity, which may have a material adverse effect, whether or not successful or valid, on our business prospects and ability to obtain financing;</w:t>
      </w:r>
    </w:p>
    <w:p>
      <w:pPr>
        <w:spacing w:after="0" w:line="75"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market acceptance of our planned products;</w:t>
      </w:r>
    </w:p>
    <w:p>
      <w:pPr>
        <w:spacing w:after="0" w:line="117" w:lineRule="exact"/>
        <w:rPr>
          <w:rFonts w:ascii="Arial" w:cs="Arial" w:eastAsia="Arial" w:hAnsi="Arial"/>
          <w:sz w:val="18"/>
          <w:szCs w:val="18"/>
          <w:color w:val="auto"/>
        </w:rPr>
      </w:pPr>
    </w:p>
    <w:p>
      <w:pPr>
        <w:ind w:left="680" w:hanging="321"/>
        <w:spacing w:after="0" w:line="259"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78"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source and maintain suppliers for our critical components and the terms of such arrangements, our ability to complete building out our supply chain. and invest in tooling;</w:t>
      </w:r>
    </w:p>
    <w:p>
      <w:pPr>
        <w:spacing w:after="0" w:line="62"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75"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75"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62"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conduct business using a direct sales model, rather than through a dealer network used by most other OEMs;</w:t>
      </w:r>
    </w:p>
    <w:p>
      <w:pPr>
        <w:spacing w:after="0" w:line="128" w:lineRule="exact"/>
        <w:rPr>
          <w:rFonts w:ascii="Arial" w:cs="Arial" w:eastAsia="Arial" w:hAnsi="Arial"/>
          <w:sz w:val="17"/>
          <w:szCs w:val="17"/>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on our ability to market and sell vehicles;</w:t>
      </w:r>
    </w:p>
    <w:p>
      <w:pPr>
        <w:spacing w:after="0" w:line="117"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expansion plans, strategic alliances and opportunities;</w:t>
      </w:r>
    </w:p>
    <w:p>
      <w:pPr>
        <w:spacing w:after="0" w:line="117"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pace and depth of electric vehicle adoption generally;</w:t>
      </w:r>
    </w:p>
    <w:p>
      <w:pPr>
        <w:spacing w:after="0" w:line="117"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62"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62"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62"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threats and compliance with privacy and data protection laws;</w:t>
      </w:r>
    </w:p>
    <w:p>
      <w:pPr>
        <w:spacing w:after="0" w:line="117"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62"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117"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other risks and uncertainties described in this prospectus, including those under the section entitled “</w:t>
      </w:r>
      <w:r>
        <w:rPr>
          <w:rFonts w:ascii="Arial" w:cs="Arial" w:eastAsia="Arial" w:hAnsi="Arial"/>
          <w:sz w:val="18"/>
          <w:szCs w:val="18"/>
          <w:i w:val="1"/>
          <w:iCs w:val="1"/>
          <w:color w:val="231F20"/>
        </w:rPr>
        <w:t>Risk Factors</w:t>
      </w:r>
      <w:r>
        <w:rPr>
          <w:rFonts w:ascii="Arial" w:cs="Arial" w:eastAsia="Arial" w:hAnsi="Arial"/>
          <w:sz w:val="18"/>
          <w:szCs w:val="18"/>
          <w:color w:val="231F20"/>
        </w:rPr>
        <w:t>,” and that may be set forth in any subsequent filing, including under any similar caption.</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as well as assumptions made by and information currently available to our management, and speak only as of the date of this prospectus.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can be no assurance that future developments affecting us will be those that we have anticipated. Except as required under the federal securities laws and rules and regulations of the SEC, we expressly disclaim any obligation or undertaking to release publicly any updates or revisions to any forward-looking statements contained herein, or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561340</wp:posOffset>
            </wp:positionV>
            <wp:extent cx="6398895" cy="6836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8895" cy="683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 w:right="140" w:firstLine="324"/>
        <w:spacing w:after="0" w:line="259"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Because it is a summary, it may not contain all of the information that may be important to you. To understand this offering fully, you should read this entire prospectus carefully, including the information set forth under the heading “Risk Factors” and in our financial statements, together with any accompanying prospectus supplement.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Lordstown Motors Corp.</w:t>
      </w:r>
    </w:p>
    <w:p>
      <w:pPr>
        <w:spacing w:after="0" w:line="229" w:lineRule="exact"/>
        <w:rPr>
          <w:sz w:val="20"/>
          <w:szCs w:val="20"/>
          <w:color w:val="auto"/>
        </w:rPr>
      </w:pPr>
    </w:p>
    <w:p>
      <w:pPr>
        <w:ind w:left="20" w:right="60" w:firstLine="324"/>
        <w:spacing w:after="0" w:line="271" w:lineRule="auto"/>
        <w:rPr>
          <w:sz w:val="20"/>
          <w:szCs w:val="20"/>
          <w:color w:val="auto"/>
        </w:rPr>
      </w:pPr>
      <w:r>
        <w:rPr>
          <w:rFonts w:ascii="Arial" w:cs="Arial" w:eastAsia="Arial" w:hAnsi="Arial"/>
          <w:sz w:val="17"/>
          <w:szCs w:val="17"/>
          <w:color w:val="auto"/>
        </w:rPr>
        <w:t>Our mission is to accelerate electric vehicle adoption and to be a catalyst in the transition of commercial fleets to all-electric vehicles for a more sustainable future. We are an electric vehicle (“EV”) innovator focused on developing high-quality light-duty work vehicles. We believe we are one of the only North American light duty original equipment manufacturers (“OEMs”) focused solely on EVs for commercial fleet customers. We believe the large commercial fleet market presents a unique opportunity to target with vehicles designed specifically for the needs of these customers. We are implementing a strategy designed to accelerate the launch of new commercial EVs. This includes working on our own vehicle programs as well as partnering with third parties as we seek to leverage our experience, our proprietary and open-source technologies and our existing vehicle platform to more efficiently develop and launch electric vehicles, to enhance capital efficiency and achieve profitability sooner.</w:t>
      </w:r>
    </w:p>
    <w:p>
      <w:pPr>
        <w:spacing w:after="0" w:line="178" w:lineRule="exact"/>
        <w:rPr>
          <w:sz w:val="20"/>
          <w:szCs w:val="20"/>
          <w:color w:val="auto"/>
        </w:rPr>
      </w:pPr>
    </w:p>
    <w:p>
      <w:pPr>
        <w:ind w:left="20" w:right="180" w:firstLine="324"/>
        <w:spacing w:after="0" w:line="273" w:lineRule="auto"/>
        <w:rPr>
          <w:sz w:val="20"/>
          <w:szCs w:val="20"/>
          <w:color w:val="auto"/>
        </w:rPr>
      </w:pPr>
      <w:r>
        <w:rPr>
          <w:rFonts w:ascii="Arial" w:cs="Arial" w:eastAsia="Arial" w:hAnsi="Arial"/>
          <w:sz w:val="17"/>
          <w:szCs w:val="17"/>
          <w:color w:val="auto"/>
        </w:rPr>
        <w:t>Since inception, we have been developing our flagship vehicle, the Endurance, an electric full-size pickup truck. We are building pre-production vehicles (“PPV”) for testing, validation, certification, and regulatory approvals during the first half of 2022. Subject to raising sufficient capital, completion of the transactions under the Asset Purchase Agreement with Foxconn (discussed below), and satisfactory completion of testing and receipt of regulatory approvals, we expect commercial production and sales of the Endurance to begin in the third quarter of 2022. We intend to leverage our advanced technologies and highly talented team to develop additional all-electric vehicles targeted for the commercial market.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Background</w:t>
      </w:r>
    </w:p>
    <w:p>
      <w:pPr>
        <w:spacing w:after="0" w:line="229" w:lineRule="exact"/>
        <w:rPr>
          <w:sz w:val="20"/>
          <w:szCs w:val="20"/>
          <w:color w:val="auto"/>
        </w:rPr>
      </w:pPr>
    </w:p>
    <w:p>
      <w:pPr>
        <w:ind w:left="20" w:firstLine="324"/>
        <w:spacing w:after="0" w:line="271" w:lineRule="auto"/>
        <w:rPr>
          <w:sz w:val="20"/>
          <w:szCs w:val="20"/>
          <w:color w:val="auto"/>
        </w:rPr>
      </w:pPr>
      <w:r>
        <w:rPr>
          <w:rFonts w:ascii="Arial" w:cs="Arial" w:eastAsia="Arial" w:hAnsi="Arial"/>
          <w:sz w:val="17"/>
          <w:szCs w:val="17"/>
          <w:color w:val="auto"/>
        </w:rPr>
        <w:t>Our company was originally known as DiamondPeak Holdings Corp. On October 23, 2020, DiamondPeak consummated the Business Combination with Legacy Lordstown pursuant to the Business Combination Agreement, dated as of August 1, 2020, among DiamondPeak, Merger Sub and Legacy Lordstown. In connection with the Closing of the Business Combination, DiamondPeak changed its name to Lordstown Motors Corp. 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178" w:lineRule="exact"/>
        <w:rPr>
          <w:sz w:val="20"/>
          <w:szCs w:val="20"/>
          <w:color w:val="auto"/>
        </w:rPr>
      </w:pPr>
    </w:p>
    <w:p>
      <w:pPr>
        <w:ind w:left="20" w:right="20" w:firstLine="324"/>
        <w:spacing w:after="0" w:line="257" w:lineRule="auto"/>
        <w:rPr>
          <w:sz w:val="20"/>
          <w:szCs w:val="20"/>
          <w:color w:val="auto"/>
        </w:rPr>
      </w:pPr>
      <w:r>
        <w:rPr>
          <w:rFonts w:ascii="Arial" w:cs="Arial" w:eastAsia="Arial" w:hAnsi="Arial"/>
          <w:sz w:val="18"/>
          <w:szCs w:val="18"/>
          <w:color w:val="auto"/>
        </w:rPr>
        <w:t>Pursuant to the Business Combination Agreement, at the effective time of the Merger (the “Effective Time”), each share of common stock, par value $0.0001 per share, of Legacy Lordstown (“Legacy Lordstown common stock”) issued and outstanding at the Effective Time converted into 55.8817 shares of our Class A common stock (the “Exchange Ratio”). The per share stock consideration that a stockholder of Legacy Lordstown received pursuant to the Business Combination Agreement is referred to as the “Merger Consideration.”</w:t>
      </w:r>
    </w:p>
    <w:p>
      <w:pPr>
        <w:spacing w:after="0" w:line="188" w:lineRule="exact"/>
        <w:rPr>
          <w:sz w:val="20"/>
          <w:szCs w:val="20"/>
          <w:color w:val="auto"/>
        </w:rPr>
      </w:pPr>
    </w:p>
    <w:p>
      <w:pPr>
        <w:ind w:left="20" w:right="20" w:firstLine="324"/>
        <w:spacing w:after="0" w:line="255" w:lineRule="auto"/>
        <w:rPr>
          <w:sz w:val="20"/>
          <w:szCs w:val="20"/>
          <w:color w:val="auto"/>
        </w:rPr>
      </w:pPr>
      <w:r>
        <w:rPr>
          <w:rFonts w:ascii="Arial" w:cs="Arial" w:eastAsia="Arial" w:hAnsi="Arial"/>
          <w:sz w:val="18"/>
          <w:szCs w:val="18"/>
          <w:color w:val="auto"/>
        </w:rPr>
        <w:t>Also at the Effective Time, (i) each outstanding share of Class B common stock, $0.0001 par value, of DiamondPeak (the “Class B common stock” or “founder shares”) converted into one share of Class A common stock, resulting in an issuance of 7,000,000 shares of Class A common stock in the aggregate and (ii) each convertible promissory note issued by Legacy Lordstown evidencing indebtedness of an aggregate of $40.0 million plus accrued interest (the “Convertible Promissory Notes”) automatically converted, in accordance with the terms thereof, into shares of Class A common stock at a price of $10.00 per share, resulting in an issuance of 4,031,830 shares of Class A common stock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77940"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561340</wp:posOffset>
            </wp:positionV>
            <wp:extent cx="6398895" cy="6013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98895" cy="601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120" w:firstLine="324"/>
        <w:spacing w:after="0" w:line="286" w:lineRule="auto"/>
        <w:rPr>
          <w:sz w:val="20"/>
          <w:szCs w:val="20"/>
          <w:color w:val="auto"/>
        </w:rPr>
      </w:pPr>
      <w:r>
        <w:rPr>
          <w:rFonts w:ascii="Arial" w:cs="Arial" w:eastAsia="Arial" w:hAnsi="Arial"/>
          <w:sz w:val="16"/>
          <w:szCs w:val="16"/>
          <w:color w:val="auto"/>
        </w:rPr>
        <w:t>Each stock option to purchase Legacy Lordstown common stock (each, a “Legacy Lordstown Option”) that was outstanding immediately prior to the Effective Time, whether vested or unvested, automatically converted into an option (each, an “Exchanged Option”) to purchase a number of shares of Class A common stock equal to the product of (x) the number of shares of Legacy Lordstown common stock subject to such Legacy Lordstown Option and (y) the Exchange Ratio, at an exercise price per share equal to</w:t>
      </w:r>
    </w:p>
    <w:p>
      <w:pPr>
        <w:spacing w:after="0" w:line="1" w:lineRule="exact"/>
        <w:rPr>
          <w:sz w:val="20"/>
          <w:szCs w:val="20"/>
          <w:color w:val="auto"/>
        </w:rPr>
      </w:pPr>
    </w:p>
    <w:p>
      <w:pPr>
        <w:ind w:left="20" w:right="140" w:firstLine="1"/>
        <w:spacing w:after="0" w:line="253"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exercise price per share of Legacy Lordstown common stock of such Legacy Lordstown Option immediately prior to the Effective Time divided by (B) the Exchange Ratio. Following the Effective Time, each Exchanged Option continues to be governed by the same terms and conditions (including vesting and exercisability terms) as were applicable to the corresponding Legacy Lordstown Option immediately prior to the Effective Time.</w:t>
      </w:r>
    </w:p>
    <w:p>
      <w:pPr>
        <w:spacing w:after="0" w:line="193" w:lineRule="exact"/>
        <w:rPr>
          <w:sz w:val="20"/>
          <w:szCs w:val="20"/>
          <w:color w:val="auto"/>
        </w:rPr>
      </w:pPr>
    </w:p>
    <w:p>
      <w:pPr>
        <w:ind w:left="20" w:right="100" w:firstLine="324"/>
        <w:spacing w:after="0" w:line="254" w:lineRule="auto"/>
        <w:rPr>
          <w:sz w:val="20"/>
          <w:szCs w:val="20"/>
          <w:color w:val="auto"/>
        </w:rPr>
      </w:pPr>
      <w:r>
        <w:rPr>
          <w:rFonts w:ascii="Arial" w:cs="Arial" w:eastAsia="Arial" w:hAnsi="Arial"/>
          <w:sz w:val="18"/>
          <w:szCs w:val="18"/>
          <w:color w:val="auto"/>
        </w:rPr>
        <w:t>In connection with the entry into the Business Combination Agreement, we entered into separate Subscription Agreements, each dated as of August 1, 2020 (the “Subscription Agreements”), with certain qualified institutional buyers and accredited investors (the “PIPE Investors”), including GM EV Holdings LLC (together with General Motors LLC and their respective affiliates, as applicable, “GM”). Pursuant to the Subscription Agreements, among other things, we sold an aggregate of 50,000,000 shares of Class A common stock to the PIPE Investors in a private placement for a purchase price of $10.00 per share, and aggregate consideration of $500 million (the “PIPE Investment” and, together with the Business Combination, the “Transactions”). The proceeds from the PIPE Investment provided us with additional capital. See “</w:t>
      </w:r>
      <w:r>
        <w:rPr>
          <w:rFonts w:ascii="Arial" w:cs="Arial" w:eastAsia="Arial" w:hAnsi="Arial"/>
          <w:sz w:val="18"/>
          <w:szCs w:val="18"/>
          <w:i w:val="1"/>
          <w:iCs w:val="1"/>
          <w:color w:val="auto"/>
        </w:rPr>
        <w:t>Certain Relationships and Related Party Transactions — PIPE Investment</w:t>
      </w:r>
      <w:r>
        <w:rPr>
          <w:rFonts w:ascii="Arial" w:cs="Arial" w:eastAsia="Arial" w:hAnsi="Arial"/>
          <w:sz w:val="18"/>
          <w:szCs w:val="18"/>
          <w:color w:val="auto"/>
        </w:rPr>
        <w:t>” for further discussion.</w:t>
      </w:r>
    </w:p>
    <w:p>
      <w:pPr>
        <w:spacing w:after="0" w:line="192" w:lineRule="exact"/>
        <w:rPr>
          <w:sz w:val="20"/>
          <w:szCs w:val="20"/>
          <w:color w:val="auto"/>
        </w:rPr>
      </w:pPr>
    </w:p>
    <w:p>
      <w:pPr>
        <w:ind w:left="20" w:right="80" w:firstLine="324"/>
        <w:spacing w:after="0" w:line="277" w:lineRule="auto"/>
        <w:rPr>
          <w:sz w:val="20"/>
          <w:szCs w:val="20"/>
          <w:color w:val="auto"/>
        </w:rPr>
      </w:pPr>
      <w:r>
        <w:rPr>
          <w:rFonts w:ascii="Arial" w:cs="Arial" w:eastAsia="Arial" w:hAnsi="Arial"/>
          <w:sz w:val="18"/>
          <w:szCs w:val="18"/>
          <w:color w:val="auto"/>
        </w:rPr>
        <w:t>Concurrently with the Closing, we issued to Brown Gibbons Lang &amp; Company (“BGL”) the warrants entitling BGL to purchase, in the aggregate, 1,649,489 shares of Class A common stock (the “BGL Warrants”).</w:t>
      </w:r>
    </w:p>
    <w:p>
      <w:pPr>
        <w:spacing w:after="0" w:line="170" w:lineRule="exact"/>
        <w:rPr>
          <w:sz w:val="20"/>
          <w:szCs w:val="20"/>
          <w:color w:val="auto"/>
        </w:rPr>
      </w:pPr>
    </w:p>
    <w:p>
      <w:pPr>
        <w:ind w:left="20" w:firstLine="324"/>
        <w:spacing w:after="0" w:line="271" w:lineRule="auto"/>
        <w:rPr>
          <w:sz w:val="20"/>
          <w:szCs w:val="20"/>
          <w:color w:val="auto"/>
        </w:rPr>
      </w:pPr>
      <w:r>
        <w:rPr>
          <w:rFonts w:ascii="Arial" w:cs="Arial" w:eastAsia="Arial" w:hAnsi="Arial"/>
          <w:sz w:val="17"/>
          <w:szCs w:val="17"/>
          <w:color w:val="auto"/>
        </w:rPr>
        <w:t>On January 27, 2021, we redeemed all of the public warrants (the “Public Warrants”) originally issued in the initial public offering in March 2019 (the “Initial Public Offering”) that remained outstanding. The BGL Warrants and the private placement warrants issued to DiamondPeak’s sponsor, DiamondPeak Sponsor LLC (the “Sponsor”), and certain funds and accounts managed by subsidiaries of BlackRock, Inc. (collectively, the “Anchor Investor”) (including any such warrants transferred to the Sponsor’s or Anchor Investor’s affiliates, the “Private Placement Warrants”) were not subject to redemption and as of March 1, 2022, 2,314,418 Private Placement Warrants and 1,649,489 BGL Warrants were outstanding. Prior to the redemption, the term “Warrants” collectively refers to the Public Warrants, the Private Placement Warrants and the BGL Warrants and, after the redemption, collectively refers to the Private Placement Warrants and the BGL Warrants.</w:t>
      </w:r>
    </w:p>
    <w:p>
      <w:pPr>
        <w:spacing w:after="0" w:line="178" w:lineRule="exact"/>
        <w:rPr>
          <w:sz w:val="20"/>
          <w:szCs w:val="20"/>
          <w:color w:val="auto"/>
        </w:rPr>
      </w:pPr>
    </w:p>
    <w:p>
      <w:pPr>
        <w:ind w:left="20" w:right="60" w:firstLine="324"/>
        <w:spacing w:after="0" w:line="259" w:lineRule="auto"/>
        <w:rPr>
          <w:sz w:val="20"/>
          <w:szCs w:val="20"/>
          <w:color w:val="auto"/>
        </w:rPr>
      </w:pPr>
      <w:r>
        <w:rPr>
          <w:rFonts w:ascii="Arial" w:cs="Arial" w:eastAsia="Arial" w:hAnsi="Arial"/>
          <w:sz w:val="18"/>
          <w:szCs w:val="18"/>
          <w:color w:val="auto"/>
        </w:rPr>
        <w:t>The rights of holders of our Class A common stock and Warrants are governed by our second amended and restated certificate of incorporation (the “Charter”), our amended and restated bylaws (the “Bylaws”), the Delaware General Corporation Law (the “DGCL”) and a warrant agreement between American Stock Transfer &amp; Trust Company, as warrant agent, and us (the “Warrant Agreement”). See the section entitled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Corporate Information</w:t>
      </w:r>
    </w:p>
    <w:p>
      <w:pPr>
        <w:spacing w:after="0" w:line="229" w:lineRule="exact"/>
        <w:rPr>
          <w:sz w:val="20"/>
          <w:szCs w:val="20"/>
          <w:color w:val="auto"/>
        </w:rPr>
      </w:pPr>
    </w:p>
    <w:p>
      <w:pPr>
        <w:ind w:left="20" w:right="60" w:firstLine="324"/>
        <w:spacing w:after="0" w:line="259" w:lineRule="auto"/>
        <w:rPr>
          <w:sz w:val="20"/>
          <w:szCs w:val="20"/>
          <w:color w:val="auto"/>
        </w:rPr>
      </w:pPr>
      <w:r>
        <w:rPr>
          <w:rFonts w:ascii="Arial" w:cs="Arial" w:eastAsia="Arial" w:hAnsi="Arial"/>
          <w:sz w:val="18"/>
          <w:szCs w:val="18"/>
          <w:color w:val="231F20"/>
        </w:rPr>
        <w:t>The mailing address of our principal executive office is 2300 Hallock Young Road, Lordstown, Ohio 44481. Our telephone number is (234) 285-4001. Our website address is www.lordstownmotors.com. Our Class A common stock is listed on the NASDAQ Global Stock Market under the symbol “RIDE.” Information contained on our website or connected thereto does not constitute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7940"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561340</wp:posOffset>
            </wp:positionV>
            <wp:extent cx="6398895" cy="6998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98895"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THE OFFERING</w:t>
      </w:r>
    </w:p>
    <w:p>
      <w:pPr>
        <w:sectPr>
          <w:pgSz w:w="11900" w:h="16838" w:orient="portrait"/>
          <w:cols w:equalWidth="0" w:num="1">
            <w:col w:w="9880"/>
          </w:cols>
          <w:pgMar w:left="980" w:top="125" w:right="10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Issuer</w:t>
      </w:r>
    </w:p>
    <w:p>
      <w:pPr>
        <w:spacing w:after="0" w:line="27" w:lineRule="exact"/>
        <w:rPr>
          <w:sz w:val="20"/>
          <w:szCs w:val="20"/>
          <w:color w:val="auto"/>
        </w:rPr>
      </w:pPr>
    </w:p>
    <w:p>
      <w:pPr>
        <w:ind w:left="20" w:right="20"/>
        <w:spacing w:after="0" w:line="255" w:lineRule="auto"/>
        <w:rPr>
          <w:sz w:val="20"/>
          <w:szCs w:val="20"/>
          <w:color w:val="auto"/>
        </w:rPr>
      </w:pPr>
      <w:r>
        <w:rPr>
          <w:rFonts w:ascii="Arial" w:cs="Arial" w:eastAsia="Arial" w:hAnsi="Arial"/>
          <w:sz w:val="18"/>
          <w:szCs w:val="18"/>
          <w:b w:val="1"/>
          <w:bCs w:val="1"/>
          <w:color w:val="auto"/>
        </w:rPr>
        <w:t xml:space="preserve">Issuance of Class A Common Stock </w:t>
      </w:r>
      <w:r>
        <w:rPr>
          <w:rFonts w:ascii="Arial" w:cs="Arial" w:eastAsia="Arial" w:hAnsi="Arial"/>
          <w:sz w:val="18"/>
          <w:szCs w:val="18"/>
          <w:color w:val="auto"/>
        </w:rPr>
        <w:t>Shares of Class A Common Stock Offered by Us</w:t>
      </w:r>
    </w:p>
    <w:p>
      <w:pPr>
        <w:spacing w:after="0" w:line="190"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Shares of Class A Common Stock Outstanding Prior to Exercise of All Warrants</w:t>
      </w:r>
    </w:p>
    <w:p>
      <w:pPr>
        <w:spacing w:after="0" w:line="124" w:lineRule="exact"/>
        <w:rPr>
          <w:sz w:val="20"/>
          <w:szCs w:val="20"/>
          <w:color w:val="auto"/>
        </w:rPr>
      </w:pPr>
    </w:p>
    <w:p>
      <w:pPr>
        <w:ind w:left="20" w:right="500"/>
        <w:spacing w:after="0" w:line="263" w:lineRule="auto"/>
        <w:rPr>
          <w:sz w:val="20"/>
          <w:szCs w:val="20"/>
          <w:color w:val="auto"/>
        </w:rPr>
      </w:pPr>
      <w:r>
        <w:rPr>
          <w:rFonts w:ascii="Arial" w:cs="Arial" w:eastAsia="Arial" w:hAnsi="Arial"/>
          <w:sz w:val="18"/>
          <w:szCs w:val="18"/>
          <w:color w:val="auto"/>
        </w:rPr>
        <w:t>Shares of Class A Common Stock Outstanding Assuming Exercise of All Warrants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Price of Warrants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Lordstown Motors Corp. (f/k/a DiamondPeak Holdings Corp.).</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2,314,418 shares of Class A common stock, issuable upon the exercise of Private Placement Warrants.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196,452,683 shares (as of March 1,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200,416,590 shares (based on total shares outstanding as of March 1, 2022).</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$11.50 per share for the Private Placement Warrants and $10.00 per share for the BGL Warrants, each subject to adjustment as described herein. See “</w:t>
      </w:r>
      <w:r>
        <w:rPr>
          <w:rFonts w:ascii="Arial" w:cs="Arial" w:eastAsia="Arial" w:hAnsi="Arial"/>
          <w:sz w:val="16"/>
          <w:szCs w:val="16"/>
          <w:i w:val="1"/>
          <w:iCs w:val="1"/>
          <w:color w:val="auto"/>
        </w:rPr>
        <w:t>Description of Securities</w:t>
      </w:r>
    </w:p>
    <w:p>
      <w:pPr>
        <w:spacing w:after="0"/>
        <w:rPr>
          <w:sz w:val="20"/>
          <w:szCs w:val="20"/>
          <w:color w:val="auto"/>
        </w:rPr>
      </w:pPr>
      <w:r>
        <w:rPr>
          <w:rFonts w:ascii="Arial" w:cs="Arial" w:eastAsia="Arial" w:hAnsi="Arial"/>
          <w:sz w:val="18"/>
          <w:szCs w:val="18"/>
          <w:i w:val="1"/>
          <w:iCs w:val="1"/>
          <w:color w:val="auto"/>
        </w:rPr>
        <w:t>— Warrants</w:t>
      </w:r>
      <w:r>
        <w:rPr>
          <w:rFonts w:ascii="Arial" w:cs="Arial" w:eastAsia="Arial" w:hAnsi="Arial"/>
          <w:sz w:val="18"/>
          <w:szCs w:val="18"/>
          <w:color w:val="auto"/>
        </w:rPr>
        <w:t>” for further discussion.</w:t>
      </w:r>
    </w:p>
    <w:p>
      <w:pPr>
        <w:spacing w:after="0" w:line="200" w:lineRule="exact"/>
        <w:rPr>
          <w:sz w:val="20"/>
          <w:szCs w:val="20"/>
          <w:color w:val="auto"/>
        </w:rPr>
      </w:pPr>
    </w:p>
    <w:p>
      <w:pPr>
        <w:sectPr>
          <w:pgSz w:w="11900" w:h="16838" w:orient="portrait"/>
          <w:cols w:equalWidth="0" w:num="2">
            <w:col w:w="3320" w:space="180"/>
            <w:col w:w="6380"/>
          </w:cols>
          <w:pgMar w:left="980" w:top="125" w:right="103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right="380"/>
        <w:spacing w:after="0" w:line="261" w:lineRule="auto"/>
        <w:rPr>
          <w:sz w:val="20"/>
          <w:szCs w:val="20"/>
          <w:color w:val="auto"/>
        </w:rPr>
      </w:pPr>
      <w:r>
        <w:rPr>
          <w:rFonts w:ascii="Arial" w:cs="Arial" w:eastAsia="Arial" w:hAnsi="Arial"/>
          <w:sz w:val="18"/>
          <w:szCs w:val="18"/>
          <w:b w:val="1"/>
          <w:bCs w:val="1"/>
          <w:color w:val="auto"/>
        </w:rPr>
        <w:t>Resale of Class A Common Stock and Private Placement Warrants</w:t>
      </w:r>
    </w:p>
    <w:p>
      <w:pPr>
        <w:ind w:left="20"/>
        <w:spacing w:after="0" w:line="260" w:lineRule="auto"/>
        <w:rPr>
          <w:sz w:val="20"/>
          <w:szCs w:val="20"/>
          <w:color w:val="auto"/>
        </w:rPr>
      </w:pPr>
      <w:r>
        <w:rPr>
          <w:rFonts w:ascii="Arial" w:cs="Arial" w:eastAsia="Arial" w:hAnsi="Arial"/>
          <w:sz w:val="18"/>
          <w:szCs w:val="18"/>
          <w:color w:val="auto"/>
        </w:rPr>
        <w:t>Shares of Class A Common Stock Offered by the Selling Securityholders</w:t>
      </w:r>
    </w:p>
    <w:p>
      <w:pPr>
        <w:spacing w:after="0" w:line="200" w:lineRule="exact"/>
        <w:rPr>
          <w:sz w:val="20"/>
          <w:szCs w:val="20"/>
          <w:color w:val="auto"/>
        </w:rPr>
      </w:pPr>
    </w:p>
    <w:p>
      <w:pPr>
        <w:spacing w:after="0" w:line="201" w:lineRule="exact"/>
        <w:rPr>
          <w:sz w:val="20"/>
          <w:szCs w:val="20"/>
          <w:color w:val="auto"/>
        </w:rPr>
      </w:pPr>
    </w:p>
    <w:p>
      <w:pPr>
        <w:ind w:left="20" w:right="980"/>
        <w:spacing w:after="0" w:line="277" w:lineRule="auto"/>
        <w:rPr>
          <w:sz w:val="20"/>
          <w:szCs w:val="20"/>
          <w:color w:val="auto"/>
        </w:rPr>
      </w:pPr>
      <w:r>
        <w:rPr>
          <w:rFonts w:ascii="Arial" w:cs="Arial" w:eastAsia="Arial" w:hAnsi="Arial"/>
          <w:sz w:val="18"/>
          <w:szCs w:val="18"/>
          <w:color w:val="auto"/>
        </w:rPr>
        <w:t>Warrants Offered by the Selling Securityholders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Lock-Up Restrictions</w:t>
      </w:r>
    </w:p>
    <w:p>
      <w:pPr>
        <w:spacing w:after="0" w:line="200" w:lineRule="exact"/>
        <w:rPr>
          <w:sz w:val="20"/>
          <w:szCs w:val="20"/>
          <w:color w:val="auto"/>
        </w:rPr>
      </w:pPr>
    </w:p>
    <w:p>
      <w:pPr>
        <w:spacing w:after="0" w:line="237"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b w:val="1"/>
          <w:bCs w:val="1"/>
          <w:color w:val="auto"/>
        </w:rPr>
        <w:t>Market for Class A Common Stock and Warrants</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We will receive up to an aggregate of approximately $43.1 million from the exercise of the Warrants, assuming the exercise in full of all of the Warrants for cash. We expect to use the net proceeds from the exercise of the Warrants for general corporate purposes. See “</w:t>
      </w:r>
      <w:r>
        <w:rPr>
          <w:rFonts w:ascii="Arial" w:cs="Arial" w:eastAsia="Arial" w:hAnsi="Arial"/>
          <w:sz w:val="18"/>
          <w:szCs w:val="18"/>
          <w:i w:val="1"/>
          <w:iCs w:val="1"/>
          <w:color w:val="auto"/>
        </w:rPr>
        <w:t>Use of Proceeds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72,133,238 shares of Class A common stock (including up to 3,963,907 shares of Class A common stock that may be issued upon exercise of the Private Placement Warrants and BGL Warrants).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2,314,418 Private Placement Warrants.</w:t>
      </w:r>
    </w:p>
    <w:p>
      <w:pPr>
        <w:spacing w:after="0" w:line="225"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The Private Placement Warrants are redeemable in certain circumstances. See “</w:t>
      </w:r>
      <w:r>
        <w:rPr>
          <w:rFonts w:ascii="Arial" w:cs="Arial" w:eastAsia="Arial" w:hAnsi="Arial"/>
          <w:sz w:val="16"/>
          <w:szCs w:val="16"/>
          <w:i w:val="1"/>
          <w:iCs w:val="1"/>
          <w:color w:val="auto"/>
        </w:rPr>
        <w:t>Description of Securities — Warrants</w:t>
      </w:r>
      <w:r>
        <w:rPr>
          <w:rFonts w:ascii="Arial" w:cs="Arial" w:eastAsia="Arial" w:hAnsi="Arial"/>
          <w:sz w:val="16"/>
          <w:szCs w:val="16"/>
          <w:color w:val="auto"/>
        </w:rPr>
        <w:t>” for further discussion.</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will not receive any proceeds from the sale of shares of Class A common stock or Private Placement Warrants by the Selling Securityholders.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our stockholders are subject to certain restrictions on transfer until the termination of applicable lock-up periods. See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for further discussion.</w:t>
      </w:r>
    </w:p>
    <w:p>
      <w:pPr>
        <w:spacing w:after="0" w:line="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Class A common stock is currently traded on the Nasdaq Global Select Market under the symbol “RIDE.” We currently do not intend to list the Private Placement Warrants offered hereby or the BGL Warrants on any stock exchange or stock market.</w:t>
      </w:r>
    </w:p>
    <w:p>
      <w:pPr>
        <w:spacing w:after="0" w:line="1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you should consider before investing in our securities.</w:t>
      </w:r>
    </w:p>
    <w:p>
      <w:pPr>
        <w:spacing w:after="0" w:line="200" w:lineRule="exact"/>
        <w:rPr>
          <w:sz w:val="20"/>
          <w:szCs w:val="20"/>
          <w:color w:val="auto"/>
        </w:rPr>
      </w:pPr>
    </w:p>
    <w:p>
      <w:pPr>
        <w:sectPr>
          <w:pgSz w:w="11900" w:h="16838" w:orient="portrait"/>
          <w:cols w:equalWidth="0" w:num="2">
            <w:col w:w="3300" w:space="200"/>
            <w:col w:w="6380"/>
          </w:cols>
          <w:pgMar w:left="980" w:top="125"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394335</wp:posOffset>
            </wp:positionV>
            <wp:extent cx="63779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77940" cy="1714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RISK FACTORS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231F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or in any accompanying prospectus supplement.If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known or material and adversely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Summary Risk Factor</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84" w:lineRule="exact"/>
        <w:rPr>
          <w:sz w:val="20"/>
          <w:szCs w:val="20"/>
          <w:color w:val="auto"/>
        </w:rPr>
      </w:pPr>
    </w:p>
    <w:p>
      <w:pPr>
        <w:ind w:left="680" w:right="22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Foxconn Transactions (as described in “</w:t>
      </w:r>
      <w:r>
        <w:rPr>
          <w:rFonts w:ascii="Arial" w:cs="Arial" w:eastAsia="Arial" w:hAnsi="Arial"/>
          <w:sz w:val="18"/>
          <w:szCs w:val="18"/>
          <w:i w:val="1"/>
          <w:iCs w:val="1"/>
          <w:color w:val="auto"/>
        </w:rPr>
        <w:t>Business — Overview</w:t>
      </w:r>
      <w:r>
        <w:rPr>
          <w:rFonts w:ascii="Arial" w:cs="Arial" w:eastAsia="Arial" w:hAnsi="Arial"/>
          <w:sz w:val="18"/>
          <w:szCs w:val="18"/>
          <w:color w:val="auto"/>
        </w:rPr>
        <w:t xml:space="preserve">”) which are subject to various conditions to closing, including the entry into the Contract Manufacturing Agreement (as defined in </w:t>
      </w:r>
      <w:r>
        <w:rPr>
          <w:rFonts w:ascii="Arial" w:cs="Arial" w:eastAsia="Arial" w:hAnsi="Arial"/>
          <w:sz w:val="19"/>
          <w:szCs w:val="19"/>
          <w:color w:val="auto"/>
        </w:rPr>
        <w:t>“</w:t>
      </w:r>
      <w:r>
        <w:rPr>
          <w:rFonts w:ascii="Arial" w:cs="Arial" w:eastAsia="Arial" w:hAnsi="Arial"/>
          <w:sz w:val="18"/>
          <w:szCs w:val="18"/>
          <w:color w:val="auto"/>
        </w:rPr>
        <w:t>—</w:t>
      </w:r>
      <w:r>
        <w:rPr>
          <w:rFonts w:ascii="Arial" w:cs="Arial" w:eastAsia="Arial" w:hAnsi="Arial"/>
          <w:sz w:val="18"/>
          <w:szCs w:val="18"/>
          <w:i w:val="1"/>
          <w:iCs w:val="1"/>
          <w:color w:val="auto"/>
        </w:rPr>
        <w:t>Risks Related to Our Business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Industry”</w:t>
      </w:r>
      <w:r>
        <w:rPr>
          <w:rFonts w:ascii="Arial" w:cs="Arial" w:eastAsia="Arial" w:hAnsi="Arial"/>
          <w:sz w:val="18"/>
          <w:szCs w:val="18"/>
          <w:color w:val="auto"/>
        </w:rPr>
        <w:t>) and the receipt of regulatory approvals, and our ability to enter into a joint product development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agreement and appropriate funding structure;</w:t>
      </w:r>
    </w:p>
    <w:p>
      <w:pPr>
        <w:spacing w:after="0" w:line="187" w:lineRule="exact"/>
        <w:rPr>
          <w:rFonts w:ascii="Arial" w:cs="Arial" w:eastAsia="Arial" w:hAnsi="Arial"/>
          <w:sz w:val="18"/>
          <w:szCs w:val="18"/>
          <w:color w:val="auto"/>
        </w:rPr>
      </w:pPr>
    </w:p>
    <w:p>
      <w:pPr>
        <w:jc w:val="both"/>
        <w:ind w:left="680" w:right="16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 which requires us to manage costs and obtain significant additional funding well in advance of our target of third quarter 2022 for the start of commercial production and sale of the Endurance, and our ability to raise such funding on a reasonable timeline and with suitable terms;</w:t>
      </w:r>
    </w:p>
    <w:p>
      <w:pPr>
        <w:spacing w:after="0" w:line="183" w:lineRule="exact"/>
        <w:rPr>
          <w:rFonts w:ascii="Arial" w:cs="Arial" w:eastAsia="Arial" w:hAnsi="Arial"/>
          <w:sz w:val="18"/>
          <w:szCs w:val="18"/>
          <w:color w:val="auto"/>
        </w:rPr>
      </w:pPr>
    </w:p>
    <w:p>
      <w:pPr>
        <w:ind w:left="680" w:right="24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sufficient capital in the future in order to invest in the tooling that we expect will enable us to eventually lower the Endurance bill of materials cost, continued design enhancements of the Endurance and any future vehicles we may develop;</w:t>
      </w:r>
    </w:p>
    <w:p>
      <w:pPr>
        <w:spacing w:after="0" w:line="183" w:lineRule="exact"/>
        <w:rPr>
          <w:rFonts w:ascii="Arial" w:cs="Arial" w:eastAsia="Arial" w:hAnsi="Arial"/>
          <w:sz w:val="18"/>
          <w:szCs w:val="18"/>
          <w:color w:val="auto"/>
        </w:rPr>
      </w:pPr>
    </w:p>
    <w:p>
      <w:pPr>
        <w:ind w:left="680" w:right="18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other impacts of litigation, regulatory proceedings, investigations, complaints, product liability claims and/or adverse publicity, which may have a material adverse effect, whether or not successful or valid, on our business prospects and ability to obtain financing;</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market acceptance of our planned products;</w:t>
      </w:r>
    </w:p>
    <w:p>
      <w:pPr>
        <w:spacing w:after="0" w:line="225" w:lineRule="exact"/>
        <w:rPr>
          <w:rFonts w:ascii="Arial" w:cs="Arial" w:eastAsia="Arial" w:hAnsi="Arial"/>
          <w:sz w:val="18"/>
          <w:szCs w:val="18"/>
          <w:color w:val="auto"/>
        </w:rPr>
      </w:pPr>
    </w:p>
    <w:p>
      <w:pPr>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186"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source and maintain suppliers for our critical components and the terms of such arrangements, our ability to complete building out our supply chain, and invest in tooling;</w:t>
      </w:r>
    </w:p>
    <w:p>
      <w:pPr>
        <w:spacing w:after="0" w:line="170"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183"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83"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conduct business using a direct sales model, rather than through a dealer network used by most other OEMs;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competition on our ability to market and sell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expansion plans, strategic alliances and opportunities;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pace and depth of electric vehicle adoption generally;</w:t>
      </w:r>
    </w:p>
    <w:p>
      <w:pPr>
        <w:spacing w:after="0" w:line="225"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70"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70"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threats and compliance with privacy and data protection laws;</w:t>
      </w:r>
    </w:p>
    <w:p>
      <w:pPr>
        <w:spacing w:after="0" w:line="225"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transactions contemplated with Foxconn under the Asset Purchase Agreement are subject to closing conditions, including further negotiation of the Contract Manufacturing Agreement, the Lordstown Facility Lease and regulatory approvals, and may not be consummated, provide the benefits that we seek and no assurances can be given that we will enter into a joint product development agreement or other agreements with Foxconn.</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November 10, 2021, we entered into an Asset Purchase Agreement (the “APA” or “Asset Purchase Agreement”) with Foxconn EV Technology, Inc., an Ohio corporation (“Foxconn Ohio”) and affiliate of Hon Hai Technology Group (“Foxconn”). The closing of the APA is subject to certain conditions, including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and (b) receipt of a communication that the Committee on Foreign Investment in the United States (“CFIUS”) has concluded that the transaction is not a “covered transaction” or that CFIUS has completed its review of the transaction and determined there are no national security concerns with the transaction. If the APA is terminated or if the transaction does not close prior to the later of (i) April 30, 2022 and (ii) 10 days after the transaction is cleared by CFIUS, we are obligated to repay the down payments to Foxconn plus accrued interest. Furthermore, among other conditions, we are required to maintain a minimum cash balance of $30 million. We have granted Foxconn a first priority security interest in substantially all of our assets to secure the repayment and other obligations under the APA. Should we default on our obligations or the APA does not close,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8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require the funding, operational and supply chain support that we expect to receive from the transactions contemplated by the Asset Purchase Agreement (the “Foxconn Transactions”) (see “</w:t>
      </w:r>
      <w:r>
        <w:rPr>
          <w:rFonts w:ascii="Arial" w:cs="Arial" w:eastAsia="Arial" w:hAnsi="Arial"/>
          <w:sz w:val="18"/>
          <w:szCs w:val="18"/>
          <w:i w:val="1"/>
          <w:iCs w:val="1"/>
          <w:color w:val="auto"/>
        </w:rPr>
        <w:t>Business — Foxconn Transactions</w:t>
      </w:r>
      <w:r>
        <w:rPr>
          <w:rFonts w:ascii="Arial" w:cs="Arial" w:eastAsia="Arial" w:hAnsi="Arial"/>
          <w:sz w:val="18"/>
          <w:szCs w:val="18"/>
          <w:color w:val="auto"/>
        </w:rPr>
        <w:t>”), as well as a joint product development agreement and an appropriate funding structure that enables us to raise substantial additional capital necessary to bring the Endurance into production and to fund future vehicle development.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the APA is subject to conditions to closing, including the further negotiation of additional agreements and regulatory and other matters that are outside of our control, there is no assurance that we will complete any of the transactions contemplated by the APA. Further, the Contract Manufacturing Agreement, Lordstown Facility Lease, and any additional agreements related to financing or joint product development are subject to the negotiation of terms satisfactory to both parties. No assurances can be given as to the timing or completion of any such agreements or the extent to which such agreements would be on terms favorable to us. If we are unable to successfully complete the contemplated transactions and relationship with Foxconn on a timely basis, our business plan, financial condition and results of operations would be materially and adversely impaired.</w:t>
      </w:r>
    </w:p>
    <w:p>
      <w:pPr>
        <w:spacing w:after="0" w:line="17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Furthermore, we cannot predict whether we will be able to fully realize the anticipated benefits from any aspects of our contemplated relationship with Foxconn, particularly since Foxconn has a limited operating history manufacturing EVs. A variety of other factors, including our need for additional financing, supply chain disruptions, and the consequences of these factors on testing and other activities, could present challenges that impact the timing and cost of our commercial production.</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require significant additional capital to implement our business plan, and it may not be available on acceptable terms, if at all, creating substantial doubt as to our ability to continue as a going concern.</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design, manufacture and sale of vehicles is a capital-intensive and complex business. Our business plan to design, produce, sell and service the Endurance and any additional vehicles requires substantial additional capital for, and well in advance of, commencing commercial production at reasonable scale. Even if the Foxconn Transactions are consummated in accordance with the current terms and on the anticipated timeline, we will need additional funding to continue our development efforts and maintain our current plans and timeline for commercial production. The amounts required are significant and we believe will be very difficult to raise without an additional investment from, or participation by, Foxconn in such a funding.</w:t>
      </w:r>
    </w:p>
    <w:p>
      <w:pPr>
        <w:spacing w:after="0" w:line="17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opinion of our independent registered public accountants on our audited financial statements as of and for the year ended December 31, 2021 contains an explanatory paragraph regarding substantial doubt about our ability to continue as a going concern. Our ability to continue as a going concern is dependent on our ability to complete the development of our electric vehicles, obtain regulatory approval, raise substantial capital, begin commercial scale production and launch the sale of such vehicles. As our current level of cash and cash equivalents is not sufficient to fund commercial scale production and the launch of sale of such vehicles, there is substantial doubt regarding our ability to continue as a going concern for a period of at least one year from the date of issuance of the consolidated financial statements included in this prospectus. If we are not able to continue as a going concern, or if there is continued doubt about our ability to do so, the value of your investment would be materially and adversely affected, or perhaps may not have any value.</w:t>
      </w:r>
    </w:p>
    <w:p>
      <w:pPr>
        <w:spacing w:after="0" w:line="165"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To alleviate these conditions, management is delaying certain expenditures in order to fund operations at reduced levels, pursuing the Foxconn Transactions and additional Foxconn arrangements, and evaluating various funding alternatives, including seeking to raise additional funds through the issuance of equity, mezzanine or debt securities, through arrangements with strategic partners or through obtaining financing from government or financial institutions. However, thus far, our access to additional capital has been limited. Numerous factors, including the significant amount of capital required, the fact that our bill of materials is currently, and expected to continue to be, substantially higher than our anticipated selling price, uncertainty surrounding regulatory approval and the performance of the vehicle, along with meaningful exposure to material losses related to ongoing litigation and the SEC investigation, among other factors are impeding our ability to raise capital. There can be no assurances that we will raise sufficient additional capital as and when needed.</w:t>
      </w:r>
    </w:p>
    <w:p>
      <w:pPr>
        <w:spacing w:after="0" w:line="18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July 23, 2021, we entered into an equity purchase agreement (the “Equity Purchase Agreement”) with YA II PN, LTD. (“YA”), pursuant to which YA has committed to purchase up to $400 million in shares of our Class A common stock, subject to certain limitations and conditions set forth in the Equity Purchase Agreement. The Equity Purchase Agreement is subject to certain limitations and conditions. The actual amount that we can raise under this facility will depend on market conditions as well as limitations in the agreement. In particular, at current market prices of our shares of Class A common stock, without stockholder approval, we cannot issue or sell to YA shares of our Class A common stock in excess of 35,144,690 shares (the “Exchange Cap”), which would limit the amount of funds we are able to raise to significantly less than the $400 million commitment under the Equity Purchase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These factors may make the timing, amount, terms or conditions of additional financings unattractive to us. If we raise additional funds by issuing equity, equity-linked or debt securities, those securities may have rights, preferences or privileges senior to the rights of our currently issued and outstanding equity or debt, and our existing stockholders may experience dilution, which may be substantial. We believe, given the financial and operational challenges we are facing, it is likely that we would issue preferred stock or debt, which may be secured. Such preferred stock or debt securities would have liquidation and other preferences that could impair the recovery of our Class A common stock. In addition, such securities may have covenants that restrict our financial and operating flexibility.</w:t>
      </w:r>
    </w:p>
    <w:p>
      <w:pPr>
        <w:spacing w:after="0" w:line="164" w:lineRule="exact"/>
        <w:rPr>
          <w:sz w:val="20"/>
          <w:szCs w:val="20"/>
          <w:color w:val="auto"/>
        </w:rPr>
      </w:pPr>
    </w:p>
    <w:p>
      <w:pPr>
        <w:jc w:val="both"/>
        <w:ind w:right="60" w:firstLine="324"/>
        <w:spacing w:after="0" w:line="296" w:lineRule="auto"/>
        <w:rPr>
          <w:sz w:val="20"/>
          <w:szCs w:val="20"/>
          <w:color w:val="auto"/>
        </w:rPr>
      </w:pPr>
      <w:r>
        <w:rPr>
          <w:rFonts w:ascii="Arial" w:cs="Arial" w:eastAsia="Arial" w:hAnsi="Arial"/>
          <w:sz w:val="16"/>
          <w:szCs w:val="16"/>
          <w:color w:val="auto"/>
        </w:rPr>
        <w:t>We have accepted an invitation from the U.S. Department of Energy and have started the due diligence process toward securing an Advanced Technology Vehicles Manufacturing (“ATVM”) loan. We have been informed that an ATVM loan would likely be secured by a first priority lien on our assets. There can be no assurance that this loan will be available to us and, if made available, what the amount, terms, collateral requirements and timing for any funding would be. In the near term, we do not believe that we would be able to satisfy the conditions to obtain an ATVM loan, including the requirement to demonstrate our viability as a company.</w:t>
      </w:r>
    </w:p>
    <w:p>
      <w:pPr>
        <w:spacing w:after="0" w:line="16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If we are unable to raise substantial additional capital in the near term, our operations and production plans will be scaled back or curtailed and, if any funds raised are insufficient to provide a bridge to full commercial production, our operations could be severely curtailed or cease entirely. Further, if the APA does not close, including because we are unable to fulfill our obligations to maintain our minimum cash balance commitments under the APA,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9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Even if we secure necessary financing in the short term, we expect our future growth to continue to require substantial funding, and the timing for and ability to generate sufficient funds from operations is uncertain. We also intend to develop additional all-electric vehicles geared for the commercial market, which will require additional capital investment with returns and timelines that will be difficult to predict.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could be materially adversely affected.</w:t>
      </w:r>
    </w:p>
    <w:p>
      <w:pPr>
        <w:spacing w:after="0" w:line="178"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We have faced and expect to continue to face disruptions to the supply chain, affecting our access to critical raw materials and components, and may be unable to adequately control the costs or maintain adequate supply of components and raw materials to facilitate completion of our development plans and full commercial production timeline.</w:t>
      </w:r>
    </w:p>
    <w:p>
      <w:pPr>
        <w:spacing w:after="0" w:line="14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may be unable to adequately control the costs associated with our operations, even with continued refinement of our operating plan. We expect to incur significant costs related to procuring materials required to manufacture, assemble and test our vehicles. The prices for and availability of these materials fluctuate depending on factors beyond our control.</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Disruptions to the supply chain, including those due to the COVID-19 pandemic, have resulted in challenges obtaining certain components and raw materials in a timely manner and/or at favorable pricing. As a result, we have adjusted and may continue to adjust our design, materials, components, production processes, and production timeline to adapt to these limitations. Further changes in our timeline, capital resources, business conditions, the impact of COVID-19 or other pandemics, governmental changes, actual or threatened geopolitical conflict or war and other factors beyond our control or that we do not presently anticipate, could affect our ability to receive the material we need for production.</w:t>
      </w:r>
    </w:p>
    <w:p>
      <w:pPr>
        <w:spacing w:after="0" w:line="19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business also depends on the continued supply of battery cells for our vehicles. We are exposed to multiple risks relating to availability and pricing of quality lithium-ion battery cells. As we and the broader electric vehicle industry grow in the future, there is no guarantee that battery cell manufacturers will be able and willing to continue to increase their capacity to meet demand. In addition, the automotive and other industries are currently experiencing a global supply shortage of semiconductors, which has impacted and could continue to impact our testing and production costs, and volume and timeline of production. Furthermore, inflation has significantly impacted the prices of key raw materials that will be included in the Endurance and its components, such as steel,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aluminum, copper, neodymium, nickel and cobalt. Inflation has also impacted our labor costs and certain indirect costs, such as utilities, and there continue to be supply shortages of certain materials and components.</w:t>
      </w:r>
    </w:p>
    <w:p>
      <w:pPr>
        <w:spacing w:after="0" w:line="17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Furthermore, currency fluctuations, labor shortages, tariffs or shortages in petroleum, steel and aluminum or other raw materials and other economic or political conditions have impacted the transportation industry and resulted and may continue to result in significant increases in freight charges, delays in obtaining critical materials or changes in the specifications for those materials.</w:t>
      </w:r>
    </w:p>
    <w:p>
      <w:pPr>
        <w:spacing w:after="0" w:line="149"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As a result of the foregoing and limited initial production volume, our current bill of materials cost is substantially higher than the anticipated selling price of the Endurance at launch. There can be no assurance that we will be able to reduce our bill of materials cost below our anticipated selling price Endurance.</w:t>
      </w:r>
    </w:p>
    <w:p>
      <w:pPr>
        <w:spacing w:after="0" w:line="18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Prices for our raw materials, components and other inputs may continue to increase our operating costs and could further reduce our margins. In addition, the growth in popularity of electric vehicles without a significant expansion in battery cell production capacity or sufficient availability of semiconductors could result in shortages, which would increase our cost of materials and impact our prospects. These factors could also delay our overall production timeline, limit production volume and impact our profitability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for us to evaluate our future business prospects.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a company with a limited operating history and have generated no revenue to date. As we attempt to transition from research and development activities to commercial production and sales, it has been and will continue to be difficult, if not impossible, to forecast our future results. We have limited insight into trends that may emerge and affect our business. The estimated costs and timelines that we have developed and continue to revise to reach full scale commercial production are subject to inherent risks and uncertainties involved in the transition from a start-up company focused on research and development activities to the large-scale manufacture and sale of vehicles. We have already incurred increased costs and there can be no assurance that our further estimates related to the costs and timing necessary to complete the design and engineering of the Endurance and to complete the retooling of the Lordstown facility will prove accurate. Our current cost of our bill of materials for the Endurance is well above our anticipated selling price. Until such time as we are able to lower the bill of materials, we are likely to limit our expected production in order to minimize our losses, which we anticipate being through 2023 or potentially longer. These are complex processes that may be subject to further delays, cost overruns and other unforeseen issues.</w:t>
      </w:r>
    </w:p>
    <w:p>
      <w:pPr>
        <w:spacing w:after="0" w:line="18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we have engaged in limited marketing activities to date, so even if we are able to bring the Endurance to market on time and on budget, there can be no assurance that fleet customers will embrace our product in significant numbers. Market conditions, many of which are outside of our control and subject to change, including the availability and terms of financing, general economic conditions, the impacts and ongoing uncertainties created by the COVID-19 pandemic, fuel and energy prices, regulatory requirements and incentives, competition and the pace and extent of vehicle electrification generally, will impact demand for the Endurance, other vehicles we develop and ultimately our success.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our inception, we have experienced losses and expect to incur additional losses in the future.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inception, we have incurred, and we expect in the future that we will continue to incur, losses and negative cash flow, either or both of which may be significant. The working capital funding necessary to start a new electric vehicle manufacturing company is significant, and other companies have tried and failed over the last several years with billions of dollars of investment capital. While we expect to benefit from our management’s experience, the technology we have licensed and developed to date and the advantages offered by the Lordstown facility and the Foxconn Transactions, we do not expect to be profitable for several years, and perhaps longer, as we invest in our business, build capacity and ramp up operations, and we cannot assure you that we will ever achieve or be able to maintain profitability in the future. Failure to become profitable may materially and adversely affect the value of your investment. If we are ever to achieve profitability, it will be dependent upon additional capital as well as the successful development and commercial introduction and acceptance of the Endurance and other vehicles we develop, which may not occur.</w:t>
      </w:r>
    </w:p>
    <w:p>
      <w:pPr>
        <w:spacing w:after="0" w:line="181"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As discussed above, significant additional funding is required in the future for a variety of reasons. There can be no assurance that financing will be available to us on favorable terms and timing or at all. We and our auditors have identified conditions and events that raise doubt about our ability to continue as a going concern. If we are not able to continue as a going concern, or if there is continued doubt about our ability to do so, the value of your investment would be materially and adversely affected.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health epidemics and pandemics, including the ongoing COVID-19 pandemic, which have adversely affected and may continue to adversely affect our business and operating results.</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face various risks related to public health issues, including epidemics, pandemics and other outbreaks, including the ongoing COVID-19 pandemic. The effects and potential effects of COVID-19, including, but not limited to, its impact on general economic conditions, trade and financing markets, labor shortages, changes in customer behavior and continuity in business operations, create significant uncertainty.</w:t>
      </w:r>
    </w:p>
    <w:p>
      <w:pPr>
        <w:spacing w:after="0" w:line="1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spread of COVID-19 has also disrupted the manufacturing, delivery and overall supply chain of vehicle manufacturers and suppliers and has led to a global decrease in vehicle sales in markets around the world. In particular, the COVID-19 crisis may cause a decrease in demand for our vehicles if fleet operators delay purchases of vehicles generally, if prices for fuel used by internal combustion engine vehicles decrease materially or they defer electric vehicle purchases in particular. In addition, the COVID-19 crisis has caused and may continue to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disruptions in our manufacturing operations and delays in our schedule to full commercial production of the Endurance, among other negative effects.</w:t>
      </w:r>
    </w:p>
    <w:p>
      <w:pPr>
        <w:spacing w:after="0" w:line="17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pandemic has resulted in government authorities implementing many measures to contain the spread of COVID-19, including travel bans and restrictions, quarantines, shelter-in-place and stay-at- home orders and business shutdowns. These measures may be in place for a significant period of time and may be reinstituted if conditions deteriorate, which could adversely affect our start-up and manufacturing plans. Measures that have been relaxed may be reimplemented if COVID-19 or variants of COVID-19 continue to spread or if vaccination programs are slower or less effective than anticipated. If, as a result of these measures, we have to limit the number of employees and contractors at the Lordstown facility at a given time, it could cause a delay in retooling efforts or in the production schedule of the Endurance. Further, our sales and marketing activities may be adversely affected due to the cancellation or reduction of in-person sales activities, meetings, events and conferences. If our workforce is unable to work effectively, including due to illness, quarantines, government actions or other restrictions in connection with COVID-19 or variants of COVID-19, our operations will be adversely affected. Our planned operations at a single facility, the Lordstown facility, concentrate these risks.</w:t>
      </w:r>
    </w:p>
    <w:p>
      <w:pPr>
        <w:spacing w:after="0" w:line="16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extent to which the COVID-19 pandemic may continue to affect our business will depend on continued developments, which are uncertain and cannot be predicted, and the pandemic has and may continue to exacerbate the other risks described in this prospectus. Even after the COVID-19 pandemic has subsided, we may continue to suffer an adverse effect on our business due to the global economic effect of COVID-19, including continued supply chain disruption and any economic recession. If the immediate or prolonged effects of the COVID-19 pandemic have a significant adverse impact on government finances, it would create uncertainty as to the continuing availability of incentives related to electric vehicle purchases and other governmental support programs.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successfully complete the retooling of the Lordstown facility to support commercial production of electric vehicles could adversely affect our business and results of operations.</w:t>
      </w:r>
    </w:p>
    <w:p>
      <w:pPr>
        <w:spacing w:after="0" w:line="170"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While we believe the Lordstown facility provides significant competitive advantages, retooling and modifying the facility for production of electric vehicles has and may continue to be complicated and present significant challenges, including the cost overruns we have already experienced. The Lordstown facility is massive, spanning over 6.2 million square feet, and many areas have needed to be retooled and modified. The facility is in near-production-ready condition with modern robotics, painting, assembly and stamping equipment, and we are working towards completing our production lines for in-wheel motors and initial lithium-ion battery packs. However, we will need to continue to make investments in order to commence full production of the Endurance, which requires us to raise additional financing. Further, we will need sufficient capital in the future in order to invest in the tooling that we expect will enable us to eventually lower the bill of materials cost of the Endurance and make continued design enhancements. Following the closing of the APA, we would continue to be responsible for additional capital investments for certain tooling and other equipment specifically related to production of the Endurance. Foxconn would own and be responsible for maintaining and investing in general manufacturing and assembly assets, excluding the battery and hub motor lines that would be operated by Foxconn, but owned and maintained by us. As with any large-scale capital project, retooling the Lordstown facility could be subject to further delays, cost overruns or other complications. These risks could be exacerbated because we are attempting to modify a complex facility, originally designed to build traditional internal combustion engine vehicles, to support the emerging technologies behind electric vehicles. In addition, we have made significant investments in soft tools that are designed for low volume production and prototyping. As we contemplate investing in hard tools that are designed for higher volumes, the value of our soft tools may be impaired or determined to have no value at all. These soft tools will be depreciated over their useful lives, but as we contemplate investing in hard tools that are designed for higher volumes, the value of our soft tools may be impaired. Therefore, some or perhaps a material portion of our soft tool assets may need to be written down or written entirely off.</w:t>
      </w:r>
    </w:p>
    <w:p>
      <w:pPr>
        <w:spacing w:after="0" w:line="188"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In order to commence commercial production at the Lordstown facility, we will also need to hire and train a significant number of additional employees and integrate a yet-to-be-fully-developed supply chain. A failure to commence commercial production at the Lordstown facility on schedule would lead to additional costs and would delay our ability to generate meaningful revenues, if at all. In addition, it would allow competitors to enter the market and capture market share before us, prevent us from gaining the confidence of potential customers and open the door to increased competition. All the foregoing could hinder our ability to successfully launch and grow our business and achieve a competitive position in the market.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rely on complex machinery for our operations and production involves a significant degree of risk and uncertainty in terms of operational performance and costs.</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production of our vehicles will rely heavily on complex machinery and will involve a significant degree of uncertainty and risk in terms of operational performance and costs. The manufacturing plant will consist of large-scale machinery combining many components. The manufacturing plant components are likely to suffer unexpected malfunctions from time to time and will depend on repairs and spare parts to resume operations, which may not be available when needed.</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Unexpected malfunctions of the manufacturing plant components may significantly affect the intended operational efficiency of the Lordstown facility. Further, if we successfully close the transactions contemplated by the APA, Foxconn would own the Lordstown facility and general manufacturing and assembly assets will be its responsibility and under its control. Foxconn would operate the equipment under the Contract Manufacturing Agreement. If Foxconn is unable to timely and effectively maintain the equipment our vehicles rely on for production, we may experience a significant interruption in our ability to supply the Endurance.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anticipate outsourcing the manufacturing of the Endurance to Foxconn under the Contract Manufacturing Agreement, and we may be subject to risks that result in the disruption of production and our operations.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part of the Foxconn Transactions, we expect to enter into the Contract Manufacturing Agreement with Foxconn, pursuant to which Foxconn would manufacture the Endurance at the Lordstown facility. We would continue to own certain assets in the Lordstown facility, principally the hub motor and battery module and pack lines and tooling specific to the Endurance. However, we anticipate Foxconn would operate and be responsible for the equipment under its control.</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manufacture of the Endurance by Foxconn would require the successful coordination among us and Foxconn, and will depend on our ability to, for example, jointly manage a production schedule, coordinate with suppliers and forecast the appropriate quantity of supplies, disseminate proprietary information and technology, conduct product testing and meet quality assurance standards. If we are unable to maintain our relationship with Foxconn or effectively manage outsourcing the production of the Endurance to Foxconn, we may be unable to ensure continuity, quality, and compliance with our design specifications or applicable laws and regulations, which may ultimately disrupt our production and operations.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Even if we are able to successfully coordinate our manufacturing relationship with Foxconn, events beyond our control could result in the inability of Foxconn to timely and effectively manufacture the Endurance. Foxconn may experience interruptions with manufacturing processes such as, but not limited to, the malfunction of the equipment under its control, capacity constraints, the inability to obtain the necessary permits or the failure to meet our quality standards or production needs. Any such interruptions could result in product defects or shortages, manufacturing failures or vehicles not being manufactured to their applicable specifications or could impair our ability to obtain regulatory approvals for our vehicles, which may result in the delay of the launch of the Endurance and our supply of vehicles into the market. Further, by outsourcing production to Foxconn, we may be unable to react quickly or effectively to any unanticipated changes that may arise during production. We may not be able to resolve any such issues related to outsourcing the manufacturing of the Endurance in a timely or cost-effective manner, or at all, which could materially adversely affect our production, business, financial condition, cash flows and results of operations.</w:t>
      </w:r>
    </w:p>
    <w:p>
      <w:pPr>
        <w:spacing w:after="0" w:line="18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With our vehicle still under development, we do not have any current customers or any pending orders and there is no assurance non-binding pre-orders and other indications of interest will be converted into binding orders or sales.</w:t>
      </w:r>
    </w:p>
    <w:p>
      <w:pPr>
        <w:spacing w:after="0" w:line="14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business model is focused on building relationships with large fleet customers. To date, we have engaged in limited marketing activities, and we have no binding purchase orders or commitments from customers. The previously reported non-binding pre-orders that we have signed and other indications of interest that we have received do not require customer deposits (although we have some customer deposits) and may not be converted into binding orders or sales. We have also engaged in discussions with fleet managers and other organizations that have indicated interest from their customers or stakeholders in the Endurance. Until the time that the Endurance’s design and development is complete and tested and the Endurance is commercially available for purchase, and until we are able to scale up our marketing function to support sales, there will be uncertainty as to customer demand for the Endurance. The potentially long wait from the time a non-binding pre-order is made, or other indication of interest is provided until the time the Endurance is delivered, and any delays beyond expected wait times, could also impact customer decisions on whether to ultimately make a purchase. Even if we are able to obtain binding orders, customers may limit their volume of purchases initially as they assess our vehicles and whether to make a broader transition to electric vehicles.</w:t>
      </w:r>
    </w:p>
    <w:p>
      <w:pPr>
        <w:spacing w:after="0" w:line="18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Commercializing the Endurance and other potential vehicles we may develop will be a long process and depends on our ability to fund and scale up our productions, including through the consummation of the Foxconn Transactions and securing additional funding, and expand our marketing functions, as well as the safety, reliability, efficiency and quality of our vehicles, and the support and service that will be available. It will also depend on factors outside of our control, such as competition,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0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success will be dependent upon our ability to enter into supply agreements and maintain our relationships with suppliers who are critical and necessary to the output and production of our vehicles. We also rely on a small group of suppliers to provide us with key components for our vehicles. The supply agreements we have or may enter into with key suppliers in the future may have provisions where such agreements can be terminated in various circumstances, including potentially without cause, or may not provide for access to supplies in accordance with our timeline or budget. If these suppliers become unable to provide, experience delays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low production volumes and continued refinement of our component requirements through the design and testing process, as well as concerns about our ability to continue as a going concern. In addition, there is the possibility that finalizing the supply agreements for the parts and components of our vehicles will cause significant disruption to our operations, or such supply agreements could be at costs that make it difficult for us to operate profitably or delay our production schedule.</w:t>
      </w:r>
    </w:p>
    <w:p>
      <w:pPr>
        <w:spacing w:after="0" w:line="1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we do not enter into long-term supply agreements with guaranteed pricing and availability for our parts or components, we may be exposed to fluctuations in prices, quality and timing of components, materials and equipment. Our current agreement for the purchase of battery cells contains, and future agreements are likely to contain, pricing provisions that are subject to adjustment based on changes in market prices of key commodities and require us to make minimum purchases irrespective of our production plans.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operating results.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experienced and may in the future experience delays in realizing our projected timelines and cost and volume targets for the production, launch and ramp up of the Endurance and the retooling of the Lordstown facility, which could harm our business, prospects, financial condition and operating results.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future business depends in large part on our ability to execute on our plans to finance, develop, manufacture, market and sell or lease the Endurance. Any delay in the financing, design, testing, manufacture and launch of the Endurance, in completing the retooling of the Lordstown facility or consummating the Foxconn Transactions and other related agreements being contemplated, including a joint product development agreement, could materially damage our brand, business, prospects, financial condition and operating results. Vehicle manufacturers often experience delays in the design, testing, manufacture and commercial release of new products and further delays in the production of the Endurance are possible.</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To the extent we experience delays in completing the retooling of the Lordstown facility, consummating the Foxconn Transactions and other related agreements being contemplated, including a joint product development agreement, launching the Endurance or obtaining the funding needed to reach scaled production, our growth prospects could be materially and adversely affected. In addition, production delays would allow competitors to enter the market and capture market share before us,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further develop our own components, whether due to COVID-19, disruptions to or instability of the global economy or other reasons, we could experience delays in meeting our projected timelines.</w:t>
      </w:r>
    </w:p>
    <w:p>
      <w:pPr>
        <w:spacing w:after="0" w:line="18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Further, we have no experience to date in high-volume manufacturing, or in outsourcing the high-volume manufacturing, of our vehicles. Even if we are successful in developing our high-volume manufacturing capability and processes, in conjunction with Foxconn, and in reliably sourcing our component supply, we cannot assure that we will be able to do so in a manner that avoids significant delays and cost overruns, including as a result of factors beyond our control such as problems with suppliers, delays in testing or receipt of required regulatory approvals to sell the Endurance, or failure to satisfy customer requirements.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While we intend to develop additional vehicles, including through our potential collaboration with Foxconn, we will initially depend on revenue generated from a single vehicle model and in the foreseeable future will be significantly dependent on a single or limited number of models, including the Endurance, for which the bill of materials cost is currently anticipated to be significantly in excess of our anticipated selling price at launch. Historically, automobile customers have come to expect a variety of vehicle models offered in a manufacturer’s fleet and new and improved vehicle models to be introduced frequently. Given that for at least the next several years our business will likely depend on a single or limited number of models, to the extent a particular model is not well-received by the market, our sales volume, business, prospects, financial condition and operating results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vehicles fail to perform as expected, our ability to develop, market and sell or lease our electric vehicles could be harmed.</w:t>
      </w:r>
    </w:p>
    <w:p>
      <w:pPr>
        <w:spacing w:after="0" w:line="24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As a new entrant to the industry attempting to build brand recognition and establish relationships with commercial fleets and fleet managers, it is very important that our vehicles and our service and support meet the expectations of our customers when we commence production and sales. If our vehicles were to contain defects in design and/or manufacture, including if they are manufactured by Foxconn, that cause them not to perform as expected or that require repair, our ability to develop, market and sell or lease our vehicles could be harmed. We currently have a limited frame of reference by which to evaluate the long-term quality, reliability and performance characteristics of our trucks, battery packs and other products. There can be no assurance that we will be able to detect and repair any defects in our products before commencing the sale of our vehicles.</w:t>
      </w:r>
    </w:p>
    <w:p>
      <w:pPr>
        <w:spacing w:after="0" w:line="17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the performance specifications of the Endurance may vary from our current estimates and could change over time and from vehicle to vehicle based on a number of factors, including the manner in which the vehicle is used or maintained, driving conditions and weather and other environmental conditions where the vehicle is used. While we are performing extensive internal testing on the Endurance, we currently have a limited frame of reference by which to evaluate detailed long-term quality, reliability, durability and performance characteristics of our battery packs, powertrains and vehicles. There can be no assurance that the Endurance will perform in accordance with our published specifications, consistently or at all.</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Further, the operation of our vehicles will be highly dependent on software that will require modification and updates over time. Software products are inherently complex and often contain defects and errors when first introduced. Any product defects or any other failure of our vehicles to perform as expected, including during testing or with respect to our initial deliveries to customers, could harm our reputation and result in adverse publicity, lost revenue, delivery delays, product recalls, product liability or false advertising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Any failure to manage our growth effectively could materially and adversely affect our business, prospects, operating results or financial condition. We plan to commence limited production of the Endurance at the Lordstown facility in the third quarter of 2022 and have the objective to grow thereafter through the consummation of the Foxconn Transactions and other contemplated agreements, subject to the receipt of additional capital. We also intend to leverage our technologies and relationship with Foxconn to develop additional all-electric vehicles geared to the commercial market that will require us to commit additional financial, engineering and management resources. Our future operating results depend to a large extent on our ability to manage our expansion and growth successfully. However, we have no experience to date in high-volume manufacturing, or in outsourcing high-volume manufacturing, of our vehicles. We cannot assure that we will be able to fund and develop efficient, automated, low-cost manufacturing capabilities and processes, and reliable sources of component supply, including in conjunction with Foxconn if the APA is consummated,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It is difficult to predict our future revenues and appropriately budget for our expenses, and we may have limited insight into trends that may emerge and affect our business. Since inception, we have reevaluated our production plan and readiness multiple times, which has contributed to an increase in ramp up costs and need for additional funding. We have been and will continue to be required to provide forecasts of our demand to our suppliers several months prior to the scheduled delivery of products to our prospective customers. Currently, there is no historical basis for making judgments on the demand for our vehicles or our ability to develop, manufacture and deliver vehicles, or on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including if by Foxconn and result in delays in shipments and revenues. In addition, lead times for materials and components that our suppliers order vary significantly and depend on factors such as the specific supplier, contract terms,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future growth is dependent upon the willingness of operators of commercial vehicle fleets to adopt electric vehicles and upon our ability to produce, sell and provide service for vehicles that meet their needs. If the market for commercial electric vehicles does not develop as we expect, or if it develops slower than we expect, our business, prospects, financial condition and operating results will be adversely affected.</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growth is dependent upon the adoption of electric vehicles by operators of commercial vehicle fleets and on our ability to produce, sell and provide service for vehicles that meet their needs. The entry of commercial electric pickup trucks and other electric vehicles into the commercial vehicle market is a relatively new development, particularly in the United States, and is characterized by rapidly changing technologies and evolving government regulation, industry standards and customer views of the merits of using electric vehicles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electric vehicles (or commercial electric vehicles generally) or vehicles powered by internal combustion engines. We believe these factors include:</w:t>
      </w:r>
    </w:p>
    <w:p>
      <w:pPr>
        <w:spacing w:after="0" w:line="165" w:lineRule="exact"/>
        <w:rPr>
          <w:sz w:val="20"/>
          <w:szCs w:val="20"/>
          <w:color w:val="auto"/>
        </w:rPr>
      </w:pPr>
    </w:p>
    <w:p>
      <w:pPr>
        <w:ind w:left="680" w:right="80" w:hanging="321"/>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difference between the initial purchase prices of commercial electric vehicles and comparable vehicles powered by internal combustion engines, both including and excluding the effect of government and other subsidies and incentives designed to promote the purchase of electric vehicles;</w:t>
      </w:r>
    </w:p>
    <w:p>
      <w:pPr>
        <w:spacing w:after="0" w:line="183"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cost of ownership of the vehicle over its expected life, which includes the initial purchase price and ongoing operating and maintenance costs;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and terms of financing options for purchases of vehicles and, for commercial electric vehicles, financing options for battery systems;</w:t>
      </w:r>
    </w:p>
    <w:p>
      <w:pPr>
        <w:spacing w:after="0" w:line="170" w:lineRule="exact"/>
        <w:rPr>
          <w:rFonts w:ascii="Arial" w:cs="Arial" w:eastAsia="Arial" w:hAnsi="Arial"/>
          <w:sz w:val="18"/>
          <w:szCs w:val="18"/>
          <w:color w:val="auto"/>
        </w:rPr>
      </w:pPr>
    </w:p>
    <w:p>
      <w:pPr>
        <w:ind w:left="680" w:right="5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and future regulations requiring increased use of nonpolluting vehicles;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fuel prices, including volatility in the cost of fuel or a prolonged period of low diesel, gasoline and natural gas costs that could decrease incentives to transition to electric vehicles;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 and availability of other alternatives to diesel or gasoline-fueled vehicles, such as vehicles powered by natural gas;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sustainability initiatives;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electric vehicle quality, performance and safety (particularly with respect to lithium-ion battery packs);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and availability of service for the vehicle, including the availability of replacement parts;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limited range over which commercial electric vehicles may be driven on a single battery charge;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access to charging stations and related infrastructure costs, and standardization of electric vehicle charging systems;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electric grid capacity and reliability;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in weighing these factors, operators of commercial vehicle fleets determine that there is not a compelling business justification for purchasing commercial electric vehicles, particularly those that we will produce and sell, then the market for commercial electric vehicles may not develop as we expect or may develop more slowly than we expect, which would adversely affect our business, prospects, financial condition and operating results.</w:t>
      </w:r>
    </w:p>
    <w:p>
      <w:pPr>
        <w:spacing w:after="0" w:line="18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addition, any reduction, elimination or selective application of tax and other governmental incentives and subsidies because of policy changes, the reduced need for such subsidies and incentives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operating results. Further, we cannot assure that the current governmental incentives and subsidies available for purchasers of electric vehicles will remain available.</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address the service requirements of our future customers or if there is inadequate access to charging stations, our business will be materially and adversely affected.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Demand for the Endurance and other vehicles we may produce will depend in part on the availability of service providers and charging infrastructure. Servicing electric vehicles is different than servicing internal combustion engine or hybrid vehicles and requires specialized skills, including high voltage training and servicing techniques. As the Endurance is not in production yet, we do not have experience servicing the Endurance. The Endurance also will require the use of charging stations to recharge its batteries. While the prevalence of charging stations has been increasing, charging station locations are significantly less widespread than gas stations. We expect to partner with third-party service providers to maintain and repair the Endurance. We may partner with third-party electric vehicle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Some potential customers may choose not to purchase the Endurance because of the lack of a more widespread service network or charging infrastructure at the time of sale. If we are unable to satisfactorily service our future customers or provide seamless access to charging infrastructure, our ability to generate customer loyalty, grow our business and sell Endurance and other vehicles we may produce could be impaired. In addition, our potential customers may be unwilling to purchase the Endurance due to actual or perceived concerns over our ability to remain a going concern and provide long term aftermarket service and support as is typical of the automotive industry.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depend upon key personnel and will need to hire and train additional personnel. If we lose key management or significant personnel, cannot recruit or effectively integrate qualified employees, directors, officers, or other personnel or experience increases in our compensation costs, our business may materially suffer.</w:t>
      </w:r>
    </w:p>
    <w:p>
      <w:pPr>
        <w:spacing w:after="0" w:line="1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recently experienced changes in our senior management. While we expect an orderly transition process as new management is integrated into various roles, we face a variety of risks and uncertainties relating to management transition, including diversion of management attention from business concerns, failure to retain other key personnel or loss of institutional knowledge. These risks and uncertainties could result in operational and administrative inefficiencies and additional added costs, which could adversely impact our results of operations, stock price and research and development of our products.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depends on our ability to recruit top talent, the continuing services of our management team and other key employees. We believe the depth and quality of the experience of our management team in the automotive and electric vehicle markets is a key to our ability to be successful. The loss of any of these individuals could have a material and adverse effect on our business operations. We do not carry “key-man” life insurance on the lives of any of our executives, employees or advisors. As with any company with limited resources, there can be no guarantee that we will be able to attract and retain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We also continue to seek personnel with appropriate accounting expertise to support the design and operation of our internal controls over financial reporting. We experience intense competition for qualified personnel and may be unable to attract and retain the personnel necessary for the development of our business. Because of this competition, our compensation costs may increase significantly. The challenge will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6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i w:val="1"/>
          <w:iCs w:val="1"/>
          <w:color w:val="auto"/>
        </w:rPr>
        <w:t>We face intense competition and associated risks, including that we may not be among the first to market with an electric pickup truck. Many of our competitors have significantly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significant market share.</w:t>
      </w:r>
    </w:p>
    <w:p>
      <w:pPr>
        <w:spacing w:after="0" w:line="1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face intense competition in our industry, which we may be unable to manage, including the risk that we may not be among the first to market with an electric pickup truck. Established OEMs and new entrants to the industry have announced their intent and timelines to compete in the electric pickup truck market. In addition, established OEMs currently offer alternative fuel and hybrid pickup trucks to the commercial fleet market, which includes government fleets. If fleet operators begin transitioning to electric vehicles on a mass scale, which will be necessary for us to be successful, we expect that more competitors will enter the market and competition will become intense. Certain potential competitors, for example, have more significant financial resources, established market positions, long-standing relationships 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of completing the development of the Endurance, completing the retooling of the Lordstown facility and commencing commercial production and sales. If we are unable to do this successfully our competitors may enter the market and capture market share, and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maintaining and strengthening our brand, which would materially and adversely affect customer acceptance of our vehicles and components and our business, revenues and prospects.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The automobile industry is intensely competitive, and we may not be successful in building, maintaining and strengthening our brand. Our current and potential competitors, particularly automobile manufacturers headquartered in the United States, Japan, the European Union and China, have greater name recognition, broader customer relationships and substantially greater marketing resources than we do. If we do not develop and maintain a strong brand, our business, prospects, financial condition and operating results will be materially and adversely impacted.</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electric vehicles will compete for market share with vehicles powered by other vehicle technologies that may prove to be more attractive than our vehicle technologies.</w:t>
      </w:r>
    </w:p>
    <w:p>
      <w:pPr>
        <w:spacing w:after="0" w:line="170" w:lineRule="exact"/>
        <w:rPr>
          <w:sz w:val="20"/>
          <w:szCs w:val="20"/>
          <w:color w:val="auto"/>
        </w:rPr>
      </w:pPr>
    </w:p>
    <w:p>
      <w:pPr>
        <w:jc w:val="both"/>
        <w:ind w:right="260" w:firstLine="324"/>
        <w:spacing w:after="0" w:line="342" w:lineRule="auto"/>
        <w:rPr>
          <w:sz w:val="20"/>
          <w:szCs w:val="20"/>
          <w:color w:val="auto"/>
        </w:rPr>
      </w:pPr>
      <w:r>
        <w:rPr>
          <w:rFonts w:ascii="Arial" w:cs="Arial" w:eastAsia="Arial" w:hAnsi="Arial"/>
          <w:sz w:val="16"/>
          <w:szCs w:val="16"/>
          <w:color w:val="auto"/>
        </w:rPr>
        <w:t>Our target market currently is serviced by manufacturers with existing customers and suppliers using proven and widely accepted fuel technologies. Additionally, our competitors are working on developing technologies that may be introduced in our target market.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unable to keep up with changes in electric vehicle technology as new entrants and existing, larger manufacturers enter the electric vehicle space.</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Endurance is being designed for use with, and is dependent upon, existing electric vehicle technology. As new companies and larger, existing vehicle manufacturers enter the electric vehicle space, we may lose any technological advantage we may have had in the marketplace and suffer a decline in our position in the market. Further, certain technology used in the Endurance, such as in our infotainment system, relies on open source code and is not proprietary to us, and our competitors may also utilize such technology to develop their vehicles.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As a result, our potential inability to adapt to and develop the necessary technology may harm our competitive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Third-party dealer networks are the traditional method of vehicle sales distribution. Because we primarily plan to sell directly to commercial fleets and fleet managers, we will not have a traditional dealer product distribution network. Our building an in-house sales and marketing function would be expensive and time-consuming. If the lack of a traditional dealer product distribution network results in lost opportunities to generate sales, it could limit our ability to grow. If our use of an in-house sales and marketing team is not effective, our results of operations and financial conditions could be adversely affected.</w:t>
      </w:r>
    </w:p>
    <w:p>
      <w:pPr>
        <w:spacing w:after="0" w:line="176"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If we are unable to establish and maintain confidence in our long-term business prospects among commercial fleet operators, investors and others within our industry, then our financial condition, operating results and business prospects may suffer materially.</w:t>
      </w:r>
    </w:p>
    <w:p>
      <w:pPr>
        <w:spacing w:after="0" w:line="10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Commercial fleet operators may be less likely to purchase our products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 or that we will continue as a going concern. Accordingly, to build, maintain and grow our business, we must maintain confidence among commercial fleet operators, suppliers, investors and other parties with respect to our liquidity and long-term business prospects.</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Maintaining such confidence may be particularly complicated by certain factors, such as our funding needs, the status of our relationship with Foxconn, limited operating history, significant outstanding litigation and SEC investigation matters, others’ unfamiliarity with our products, competition and uncertainty regarding the future of electric vehicles. Many of these factors are largely outside our control, and any negative perceptions about our long-term business prospects, even if exaggerated or unfounded, would likely harm our business and make it more difficult to raise additional capital.</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There are complex software and technology systems that need to be developed in coordination with vendors and suppliers in order to reach production for our electric vehicles, and there can be no assurance such systems will be successfully developed.</w:t>
      </w:r>
    </w:p>
    <w:p>
      <w:pPr>
        <w:spacing w:after="0" w:line="1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vehicles will use a substantial amount of third-party and in-house software codes and complex hardware to operate. The development of such advanced technologies is inherently complex, and we will need to coordinate with our vendors and suppliers in order to reach production for our electric vehicles. Defects and errors may be revealed over time and our control over the performance of third-party services and systems may be limited. Thus, our potential inability to develop the necessary software and technology systems may harm our competitive position.</w:t>
      </w:r>
    </w:p>
    <w:p>
      <w:pPr>
        <w:spacing w:after="0" w:line="18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are relying on third-party suppliers to develop a number of emerging technologies for use in our products, including lithium-ion battery technology. These technologies are not today, and may not ever be, commercially viable. There can be no assurances that our suppliers will be able to meet the technological requirements, production timing and volume requirements to support our business plan. In addition, the technology may not comply with the cost, performance useful life and warranty characteristics we anticipate 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plan. As a result, our business plan could be significantly impacted, and we may incur significant liabilities under warranty claims which could adversely affect our business, prospects,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dependent on our development and protection of intellectual property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rely on confidentiality and trade secret protections to protect our proprietary technology. All new developments by us will be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owned by us. Our success will, in part, depend on our ability to obtain patents and trademarks and protect our trade secrets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proprietary technology. We are currently maintaining our engineering under confidentiality agreements and other agreements to preserve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trade secrets and other proprietary technology. We have filed numerous trademark and patent applications with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and Trademark Office (“USPTO”) but have not received any federal registrations of any applications as of the date of filing of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prospectus. Our trademark applications were filed on an “intend-to-use" basis, and as such will not be registered until we begin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commercial sale of our vehicles. Such a filing has a limited duration and requires a request of the USPTO to grant an extension.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assurances can be provided that such extension would be granted, and our ability to use the marks may be impeded. Although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confidentiality agreements with our employees, consultants and contractors, our agreements may not adequately protect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particularly with respect to conflicts of ownership relating to work product generated by our employees, consultants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contractors, and we cannot be certain that others will not gain access to our trade secrets and other proprietary technology. 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 Legal Proceedings</w:t>
      </w:r>
      <w:r>
        <w:rPr>
          <w:rFonts w:ascii="Arial" w:cs="Arial" w:eastAsia="Arial" w:hAnsi="Arial"/>
          <w:sz w:val="16"/>
          <w:szCs w:val="16"/>
          <w:color w:val="auto"/>
        </w:rPr>
        <w:t>.” Others may independently develop substantially equivalent proprietary information and techniques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otherwise gain access to our trade secrets.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 and Claims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and uncertainties related to litigation, regulatory actions and government investigations and inquiries.</w:t>
      </w:r>
    </w:p>
    <w:p>
      <w:pPr>
        <w:spacing w:after="0" w:line="237"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We are currently and may in the future be subject to, or become a party to, litigation, regulatory actions, and government investigations and inquiries. See “</w:t>
      </w:r>
      <w:r>
        <w:rPr>
          <w:rFonts w:ascii="Arial" w:cs="Arial" w:eastAsia="Arial" w:hAnsi="Arial"/>
          <w:sz w:val="18"/>
          <w:szCs w:val="18"/>
          <w:i w:val="1"/>
          <w:iCs w:val="1"/>
          <w:color w:val="auto"/>
        </w:rPr>
        <w:t>Business — Legal Proceedings</w:t>
      </w:r>
      <w:r>
        <w:rPr>
          <w:rFonts w:ascii="Arial" w:cs="Arial" w:eastAsia="Arial" w:hAnsi="Arial"/>
          <w:sz w:val="18"/>
          <w:szCs w:val="18"/>
          <w:color w:val="auto"/>
        </w:rPr>
        <w:t>” below and in our subsequent filings with the SEC for additional information.</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lawsuits, claims, or investigations have been and may in the future be time-consuming, costly, divert management resources, increase our insurance costs, cause reputational harm or otherwise have a material adverse effect on our business or result of operations.</w:t>
      </w:r>
    </w:p>
    <w:p>
      <w:pPr>
        <w:spacing w:after="0" w:line="18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ongoing expense of lawsuits, investigations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At this time, the Company cannot predict the results of many of current proceedings, and future resolution of these matters could result in changes in management's estimates of losses, which could be material to the Company’s consolidated financial statements. We have not established provisions for most of the current proceedings as of December 31, 2021. Significant legal fees and costs of litigation or an adverse judgment or settlement that are not insured or is in excess of insurance coverage could have a material adverse effect on our financial position and results of operations. Furthermore, the potential material adverse effect of the pending litigation, SEC investigation and related ongoing significant legal costs would likely impair our ability to raise the additional capital we need to launch the Endurance in the third quarter of 2022, and therefore increases the risk that our operations could be severely curtailed or cease entirely.</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or any litigation that we may be subject to or involved in may adversely affect our business, investments and results of operations.</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Those laws, regulations and rules and their interpretation and application may also change from time to time and those changes could have a material adverse effect on our business, investments and results of operations. For example, it is difficult to predict what impact, if any, changes in federal laws and policies, including those relating to tax, environmental, labor and employment, will have on our business and industry, the economy as a whole, consumer confidence and discretionary spending. A failure to comply with applicable laws, regulations or rules, as interpreted and applied, could have a material adverse effect on our business and results of operations.</w:t>
      </w:r>
    </w:p>
    <w:p>
      <w:pPr>
        <w:spacing w:after="0" w:line="16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Significant legal fees and costs in litigation or an adverse judgment or settlement that is not insured or is in excess of insurance coverage could have a material adverse effect on our financial position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or other claims could have a material adverse effect on our business.</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risk of product liability claims, product recalls and associated adverse publicity is inherent in the manufacturing, marketing and sale of all vehicles, including electric vehicles. Although we have liability insurance policies in place, that insurance may be inadequate to cover all potential product claims. Any product recall or lawsuit seeking significant monetary damages either in excess of our coverage, or outside of our coverage, may have a material adverse effect on our business and financial condition. We may not be able to secure additional liability insurance coverage on acceptable terms or at reasonable costs when 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If we complete the outsourcing of our manufacturing of the Endurance to Foxconn, this will limit our control over the production of our vehicles and our ability to mitigate the risk of product issues that may arise in the manufacturing process. We cannot provide assurance that such claims and/or recalls will not be made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the Lordstown facility required us to accept all environmental responsibility for the real property.</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Asset Transfer Agreement between us and GM (the “Asset Transfer Agreement”), pursuant to which we acquired the Lordstown facility, required us to accept the condition of the real property in “as is — where is” condition, including accepting all environmental conditions. The Lordstown facility and all of its facilities and real property present environmental risk, both known and unknown. Prior to entering into the Asset Transfer Agreement, GM completed an investigation and remediation project pursuant to an Administrative Order on Consent (“AOC”) under the U.S. EPA’s Resource Conservation and Recovery Act (“RCRA”) Corrective Action Program. As part of the U.S. EPA’s approval of GM’s investigation and remediation project,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In addition, to further manage potential environmental risk, we have secured environmental liability insurance coverage as required under the Asset Transfer Agreement. Finally, to mitigate the risk associated with the Ohio EPA’s authority to require future remediation activities at the Lordstown facility, related to historic environmental conditions, we have entered into an Administrative Order with the Ohio EPA wherein the Ohio EPA agreed to not pursue enforcement actions against us for historic environmental conditions at the Lordstown site provided that we comply with the terms of the environmental covenant. Notwithstanding the efforts that we have taken to mitigate environmental risk, there is no assurance that claims, lawsuits, fines or penalties will not arise. Our assumption of environmental liabilities at the Lordstown facility could expose us to potential costs and liabilities that could exceed or fall outside of our available insurance coverage and adversely impact our financial condition. Upon closing of the Asset Purchase Agreement, Foxconn will generally assume environmental liabilities arising from the Lordstown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facility; however, we will retain an indemnity obligation for certain undisclosed liabilities known by us or caused by us during our period of ownership. Regulatory requirements may have a negative effect upon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requirements may have a negative effect upon our business.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and any other vehicles we may produce will be subject to substantial regulation under federal, state and local laws and standards. These regulations include those promulgated by the U.S. EPA, the California Air Resources Board (“CARB”), the National Highway Traffic Safety Administration (“NHTSA”), the Pipeline and Hazardous Materials Safety Administration (“PHMSA”) and various state boards, and compliance certification is required for each new model year. These laws and standards are subject to change from time to time and we could become subject to additional regulations in the future. In addition, federal, state and local laws and industrial standards for electric vehicles are still developing. Compliance with these regulations, including obtaining necessary approvals, could be challenging, burdensome, time-consuming and expensive. If compliance and obtaining approvals results in delays or substantial expenses, our business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liability for infringing upon other companies’ intellectual property rights.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success will, in part, depend on our ability to operate without infringing on others’ proprietary rights. Although we are starting with a new design and development and are relying on the licensed rights from Elaphe Propulsion Technologies Ltd.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Endurance will make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battery packs in the Endurance will use lithium-ion cells, which have been used for years in laptop computers and cell phones. On rare occasions, if not appropriately managed and controlled, lithium-ion cells can rapidly release the energy they contain by venting smoke and flames in a manner that can ignite nearby materials. This has occurred in our testing as we refine our software and other systems. Although we believe we can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will carry commercial general liability, commercial automobile liability and umbrella insurance, which may not be adequate to ensure against all losses.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legal challenges in one or more states in our attempting to sell directly to customers that could adversely affect our costs.</w:t>
      </w:r>
    </w:p>
    <w:p>
      <w:pPr>
        <w:spacing w:after="0" w:line="26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business plan includes the direct sale of vehicles to commercial fleet operators and managers,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recently became a licensed dealer in California and anticipate that we may become a licensed dealer in additional states.</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compliance with the various state requirements, which change from time to time. Regulatory compliance and likely challenges to the distribution model will add to the cost of our business.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compelled to undertake product recalls or take other actions, which could adversely affect our business, prospects, operating results, reputation and financial condition.</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product recall in the future may result in adverse publicity, damage our reputation and adversely affect our business, prospects, operating results and financial condition. In the future, we may, voluntarily or involuntarily, initiate a recall if any of our electric vehicles or components (including our battery cells) prove to be defective or noncompliant with applicable federal motor vehicle safety standards. Such recalls, whether caused by systems or components engineered or manufactured by us, Foxconn or our suppliers, would involve significant expense and diversion of management’s attention and other resources, which could adversely affect our brand image in our target market and our business, prospects, financial condition and operating results.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Insufficient warranty reserves to cover future warranty claims could adversely affect our business, prospects, financial condition and operating results.</w:t>
      </w:r>
    </w:p>
    <w:p>
      <w:pPr>
        <w:spacing w:after="0" w:line="17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Once our electric pickup trucks are in production and sold to the public, we will need to maintain warranty reserves to cover any warranty-related claims. If our warranty reserves are inadequate to cover such future warranty claims, our business, prospects, financial condition and operating results could be materially and adversely affected. We may become subject to significant and unexpected warranty expenses. There can be no assurances that then-existing warranty reserves will be sufficient to cover all claims.</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intend to collect and process certain information about our customers and will be subject to various privacy and data protection laws.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intend to collect and process certain information about our customers,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information about our customers could carry similar consequences. Should we become subject to additional privacy or data protection laws, we may need to undertake compliance efforts that could carry a large cost. Although we take steps to protect the security of our customers’ personal information, we may be required to expend significant resources to comply with data security incident notification requirements if a third-party accesses or acquires the personal information of our customers without authorization or if we otherwise experience a data security incident or loss of customers’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Interruption or failure of, or unauthorized access to, our or the Endurance’s information technology and communications systems could adversely affect our operating results and reputation.</w:t>
      </w:r>
    </w:p>
    <w:p>
      <w:pPr>
        <w:spacing w:after="0" w:line="170"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We are currently developing information technology and communications systems to assist us in the management of our business. The production of our vehicles will require the development, maintenance and improvement of information technology and communications systems in the United States, which will include product data management, procurement, inventory management, production planning and execution, sales, service and logistics, financial, tax and regulatory compliance systems. The availability and effectiveness of operating our business will depend on these systems.</w:t>
      </w:r>
    </w:p>
    <w:p>
      <w:pPr>
        <w:spacing w:after="0" w:line="1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software, information technology and communications systems will be integral to the operation and functionality of the Endurance. The Endurance will be designed with built-in data connectivity to accept and install periodic remote updates to improve or update its functionality. Although these systems will be designed and tested for resiliency and security, they involve complex technologies, and we cannot be certain they will be entirely free from vulnerabilities.</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all of these systems may be vulnerable to damage or interruption from, among other things, data breaches, cyber-attacks, actual or threatened geopolitical conflict, war, fire, natural disasters, power loss, telecommunications failures, computer viruses and other attempts to harm our systems or the operation of Endurance vehicles. We cannot be certain that these systems or</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strategy may not be adequate to protect us from all business risks.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currently and may in the future be subject to, or become a party to, litigation, regulatory actions, and government investigations and inquiries. In addition, in the ordinary course of business, we may be subject to losses resulting from products liability, accidents, acts of God and other claims against us. See “</w:t>
      </w:r>
      <w:r>
        <w:rPr>
          <w:rFonts w:ascii="Arial" w:cs="Arial" w:eastAsia="Arial" w:hAnsi="Arial"/>
          <w:sz w:val="18"/>
          <w:szCs w:val="18"/>
          <w:i w:val="1"/>
          <w:iCs w:val="1"/>
          <w:color w:val="auto"/>
        </w:rPr>
        <w:t>Business — Legal Proceedings</w:t>
      </w:r>
      <w:r>
        <w:rPr>
          <w:rFonts w:ascii="Arial" w:cs="Arial" w:eastAsia="Arial" w:hAnsi="Arial"/>
          <w:sz w:val="18"/>
          <w:szCs w:val="18"/>
          <w:color w:val="auto"/>
        </w:rPr>
        <w:t>” below and in our subsequent filings with the SEC for additional information.</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These proceedings and incidents may include claims for which we have no insurance coverage. While we currently carry commercial general liability, commercial automobile liability, excess liability, workers’ compensation, cyber security and directors’ and officers’ insurance policies, coverage amounts are limited and we may not maintain as much insurance coverage as other OEMs do. In some cases, we may not maintain any insurance coverage at all.</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Additionally, the policies that we do have may include significant deductibles and exclusions, and we cannot be certain that our insurance coverage will be applicable to or sufficient to cover all current and future claims against us. Our insurers have raised and may in the future raise, defenses as to coverage of all or some of the claims and, in any event, available insurance coverage may not be sufficient. A loss that is uninsured or exceeds policy limits may require us to pay substantial amounts, which could adversely affect our financial condition, operating results and prospects.</w:t>
      </w:r>
    </w:p>
    <w:p>
      <w:pPr>
        <w:spacing w:after="0" w:line="188" w:lineRule="exact"/>
        <w:rPr>
          <w:sz w:val="20"/>
          <w:szCs w:val="20"/>
          <w:color w:val="auto"/>
        </w:rPr>
      </w:pPr>
    </w:p>
    <w:p>
      <w:pPr>
        <w:jc w:val="both"/>
        <w:ind w:right="200"/>
        <w:spacing w:after="0" w:line="381" w:lineRule="auto"/>
        <w:rPr>
          <w:sz w:val="20"/>
          <w:szCs w:val="20"/>
          <w:color w:val="auto"/>
        </w:rPr>
      </w:pPr>
      <w:r>
        <w:rPr>
          <w:rFonts w:ascii="Arial" w:cs="Arial" w:eastAsia="Arial" w:hAnsi="Arial"/>
          <w:sz w:val="15"/>
          <w:szCs w:val="15"/>
          <w:b w:val="1"/>
          <w:bCs w:val="1"/>
          <w:i w:val="1"/>
          <w:iCs w:val="1"/>
          <w:color w:val="auto"/>
        </w:rPr>
        <w:t>The Lordstown facility could be damaged or adversely affected as a result of disasters or other unpredictable events. Any prolonged disruption in the operations of the facility would adversely affect our business, prospects, financial condition and operating results.</w:t>
      </w:r>
    </w:p>
    <w:p>
      <w:pPr>
        <w:spacing w:after="0" w:line="10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currently plan for our electric vehicles to be assembled at a single facility, the Lordstown facility. Any prolonged disruption of operations at the Lordstown facility, whether due to technical, information systems, communication networks, strikes, accidents, weather conditions or other natural disaster, the COVID-19 pandemic, global instability, acts of war or otherwise, whether short- or long-term, would adversely affect our business, prospects, financial condition and operating results. Furthermore, pursuant to the APA, we have the obligation to deliver the Lordstown facility to Foxconn in substantially similar operating state as of the effective date of the APA. Therefore, any adverse impacts to the facility are likely to cause a delay in the APA closing, financial exposure or perhaps termination of the APA.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joint ventures, or acquisitions.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and are in the process of and may from time to time consider entering into strategic alliances, including joint ventures, minority equity investments or other transactions with various third parties to further our business purpose, including the Foxconn Transactions and other potential relationships.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its reputation from events relating to its business, we may also suffer negative publicity or harm to our reputation by virtue of our association with any such third party.</w:t>
      </w:r>
    </w:p>
    <w:p>
      <w:pPr>
        <w:spacing w:after="0" w:line="19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potentially dilutive issuances of equity securities, the occurrence of significant goodwill impairment charges, amortization expenses for other intangible assets and exposure to potential unknown liabilities of an acquired business. Moreover, the costs of identifying and consummating acquisitions may be significant.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Our Securities and Being a Public Company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concentration of ownership of our stock among a few large stockholders may limit your ability to influence significant corporate decisions.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ownership by a few stockholders may account for a large percentage of our outstanding Class A common stock. For example, as of March 3, 2022, Stephen S. Burns, our former Chief Executive Officer and Chairman, beneficially owned Class A common stock representing approximately 17.9% of our outstanding shares. Foxconn currently beneficially owns approximately 3.7% of Class A common stock and may increase its beneficial ownership. As long as Mr. Burns, other individuals or companies own or control a significant percentage of our outstanding voting power, they could have the ability to influence certain corporate actions requiring stockholder approval including the election of directors, any amendment of our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or additional shares of Class A common stock, which would dilute the interest of our stockholders and could cause the price of our Class A common stock to decline.</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Charter provides for 312 million authorized shares of capital stock, consisting of (i) 300 million shares of Class A common stock and (ii) 12 million shares of preferred stock.</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To raise capital, we may sell Class A common stock, preferred stock, convertible securities or other equity securities in one or more transactions, including those contemplated by the Equity Purchase Agreement, at prices and in a manner we determine from time to time. We may sell shares or other securities in any other offering at a price per share that is less than the price per share paid by our current stockholders, and investors purchasing shares or other securities in the future could have rights superior to existing stockholders. In particular, we may issue a substantial number of shares of preferred stock and/or additional shares of Class A common stock in connection with the Foxconn Transactions, a potential joint product development agreement and other contemplated transactions with Foxconn, our financing efforts and as compensation to our employees and directors. Any such issuance:</w:t>
      </w:r>
    </w:p>
    <w:p>
      <w:pPr>
        <w:spacing w:after="0" w:line="166"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then-current stockholders;</w:t>
      </w:r>
    </w:p>
    <w:p>
      <w:pPr>
        <w:spacing w:after="0" w:line="225" w:lineRule="exact"/>
        <w:rPr>
          <w:rFonts w:ascii="Arial" w:cs="Arial" w:eastAsia="Arial" w:hAnsi="Arial"/>
          <w:sz w:val="18"/>
          <w:szCs w:val="18"/>
          <w:color w:val="auto"/>
        </w:rPr>
      </w:pPr>
    </w:p>
    <w:p>
      <w:pPr>
        <w:ind w:left="680" w:right="120" w:hanging="321"/>
        <w:spacing w:after="0" w:line="308"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may subordinate the rights of holders of shares of Class A common stock if one or more classes of preferred stock are created, and such preferred shares are issued, with rights senior to those afforded to our Class A common stock;</w:t>
      </w:r>
    </w:p>
    <w:p>
      <w:pPr>
        <w:spacing w:after="0" w:line="146" w:lineRule="exact"/>
        <w:rPr>
          <w:rFonts w:ascii="Arial" w:cs="Arial" w:eastAsia="Arial" w:hAnsi="Arial"/>
          <w:sz w:val="17"/>
          <w:szCs w:val="17"/>
          <w:color w:val="auto"/>
        </w:rPr>
      </w:pPr>
    </w:p>
    <w:p>
      <w:pPr>
        <w:ind w:left="68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the prevailing market price for our Class A common stock.</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July 23, 2021, we entered into the Equity Purchase Agreement with YA, pursuant to which YA has committed to purchase up to $400 million in shares of our Class A common stock, subject to certain limitations and conditions set forth in the Equity Purchase Agreement. The shares of our Class A common stock that may be issued under the Equity Purchase Agreement may be sold by us to YA at our discretion from time to time over an approximately 36-month period commencing on the date of the agreement. We generally have the right to control the timing and amount of any sales of our shares of Class A common stock to YA under the Equity Purchase Agreement. Future sales of our Class A common stock to YA under the Equity Purchase Agreement will depend upon market conditions and other factors. Because the purchase price per share to be paid by YA for the shares of Class A common stock that we may elect to sell to YA under the Equity Purchase Agreement will fluctuate based on the market prices of our Class A common stock, it is not possible for us to predict the remaining number of shares of Class A common stock that we will sell to YA under the Equity Purchase Agreement, the purchase price per share that YA will pay for shares purchased from us under the Equity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Purchase Agreement, or the aggregate gross proceeds that we will receive from those purchases by YA under the Equity Purchase Agreement. The Equity Purchase Agreement is subject to certain limitations and conditions. In particular, at current market prices of our shares of Class A common stock, without stockholder approval, we cannot issue or sell to YA shares of our Class A common stock in excess of 35.1 million shares, which would limit the amount of funds we are able to raise to significantly less than the $400 million commitment under the Equity Purchase Agreement.</w:t>
      </w:r>
    </w:p>
    <w:p>
      <w:pPr>
        <w:spacing w:after="0" w:line="18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We may not have sufficient authorized shares to issue in connection with a future capital raise without shareholder approval. We intend to seek approval of an amendment to our Charter to increase the authorized number of shares of Class A common stock and preferred stock. No assurance can be given that our shareholders will approve an increase in authorized shares, that may result in our inability to raise adequate funds to execute our strategy.</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securities in the public market could cause the market price of our Class A common stock to drop significantly, even if our business is doing well.</w:t>
      </w:r>
    </w:p>
    <w:p>
      <w:pPr>
        <w:spacing w:after="0" w:line="170"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Sales of a substantial number of shares of Class A common stock in the public market could occur at any time, including sales pursuant to the Equity Purchase Agreement and resale registration statement covering such shares, or other efforts to raise additional capital or in connection with a strategic alliance, business combination or similar transaction, as well as pursuant to this prospectus. These sales, or the perception in the market that the 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164"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As of March 1, 2022, we had outstanding 196.5 million shares of our Class A common stock and Warrants to purchase approximately 3.9 million shares of our Class A common stock. The exercise price of the BGL Warrants is $10.00 per share and of the Private Placement Warrants is $11.50 per share. To the extent such Warrants are exercised, additional shares of our Class A common stock will be issued, which will result in dilution to the holders of our Class A common stock and will increase the number of shares eligible for resale in the public market. In addition, as of March 1, 2022, an aggregate of 14.7 million shares of Class A common stock are subject to outstanding awards or available for future issuance under the 2020 Equity Incentive Plan (the “2020 Plan”). Sales, or the potential sales, of substantial numbers of shares in the public market, subject to certain restrictions on transfer until the termination of applicable lock-up periods, could increase the volatility of the market price of our Class A common stock or adversely affect the market price of our Class A common stock.</w:t>
      </w:r>
    </w:p>
    <w:p>
      <w:pPr>
        <w:spacing w:after="0" w:line="18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Registration Rights and Lock-up Agreement (the “Registration Rights and Lock-up Agreement”) that we entered into effective as of the Closing of the Business Combination provided that certain of our securities held by the parties to such agreement were locked-up, pursuant to which 50% of shares of Class A common stock held by Stephen S. Burns will continue be locked-up until October 23, 2022. 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likely to be limited by covenants of any existing and future outstanding indebtedness we incur, preferred stock we may issue, or other agreements we may enter into. As a result, you may not receive any return on an investment in our Class A common stock unless you sell our Class A common stock for a price greater than that which you paid for it. See “</w:t>
      </w:r>
      <w:r>
        <w:rPr>
          <w:rFonts w:ascii="Arial" w:cs="Arial" w:eastAsia="Arial" w:hAnsi="Arial"/>
          <w:sz w:val="18"/>
          <w:szCs w:val="18"/>
          <w:i w:val="1"/>
          <w:iCs w:val="1"/>
          <w:color w:val="auto"/>
        </w:rPr>
        <w:t>Market Information for Class A Common Stock and 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Policy — Dividend Policy</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is volatile, and you may not be able to sell the shares of our Class A common stock at or above the price you paid.</w:t>
      </w:r>
    </w:p>
    <w:p>
      <w:pPr>
        <w:spacing w:after="0" w:line="26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trading price of our Class A common stock has been very volatile and could be subject to wide fluctuations in response to various factors, some of which are beyond our control. These factors include:</w:t>
      </w:r>
    </w:p>
    <w:p>
      <w:pPr>
        <w:spacing w:after="0" w:line="170"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consummate the Foxconn Transactions or enter into additional agreements with Foxconn;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adequate financing and on acceptable terms;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commencement of, or involvement in, investigations, inquiries or litigation;</w:t>
      </w:r>
    </w:p>
    <w:p>
      <w:pPr>
        <w:spacing w:after="0" w:line="225"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complete the engineering and testing of the Endurance, start production and bring it to market on the expected timeline and budget;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operating results and funding needs;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of our competitors;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industries in which we operate in general;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price performance of other companies that investors deem comparable to us;</w:t>
      </w:r>
    </w:p>
    <w:p>
      <w:pPr>
        <w:spacing w:after="0" w:line="225"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focus on long-term goals over short-term results;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magnitude of our investments in the growth of our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proprietary rights, including litigation;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capital structure, including future issuances of securities or the incurrence of debt;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 changes in our board of directors or management;</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executive officers or significant stockholders or the perception that such sales could occur; and</w:t>
      </w:r>
    </w:p>
    <w:p>
      <w:pPr>
        <w:spacing w:after="0" w:line="170"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In addition, in the past, securities class action litigation has often been commenced against companies following periods of volatility in the overall market or the market price of the particular company’s securities. This type of litigation, which has been, and may in the future be, instituted against us, is likely to result in substantial costs and a diversion of our management’s attention and resources and have a material adverse impact on our financial condition and results of operations. For example, we currently have several litigation matters pending against us and current and former officers and directors of the Company and DiamondPeak. We intend to vigorously defend against the claims but there can be no assurances as to the outcome, costs, availability of insurance coverage and impact on our operating results, financial condition and prospects. See “Business </w:t>
      </w:r>
      <w:r>
        <w:rPr>
          <w:rFonts w:ascii="Arial" w:cs="Arial" w:eastAsia="Arial" w:hAnsi="Arial"/>
          <w:sz w:val="17"/>
          <w:szCs w:val="17"/>
          <w:i w:val="1"/>
          <w:iCs w:val="1"/>
          <w:color w:val="auto"/>
        </w:rPr>
        <w:t>—</w:t>
      </w:r>
      <w:r>
        <w:rPr>
          <w:rFonts w:ascii="Arial" w:cs="Arial" w:eastAsia="Arial" w:hAnsi="Arial"/>
          <w:sz w:val="17"/>
          <w:szCs w:val="17"/>
          <w:color w:val="auto"/>
        </w:rPr>
        <w:t xml:space="preserve"> Legal Proceedings” below and in our subsequent filings with the SEC for additional information.</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incur significant increased expenses and administrative burdens as a public company and our management may not successfully or effectively manage our transition to public company obligations, which could have a material adverse effect on our business, financial condition and results of operations.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face increased legal, accounting, administrative and other costs and expenses as a mature public company that Legacy Lordstown did not incur as a private company. SEC rules and regulations, the Sarbanes-Oxley Act of 2002, including the requirements of Section 404, as well as rules and regulations subsequently implemented by the SEC thereunder,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that are complex and time-consuming.</w:t>
      </w:r>
    </w:p>
    <w:p>
      <w:pPr>
        <w:spacing w:after="0" w:line="192"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As of December 31, 2021, we no longer qualify as an “emerging growth company” as defined in Section 2(a)(19) of the Securities Act of 1933 (the “Securities Act”), as modified by the Jumpstart Our Business Act of 2012 (the “JOBS Act”). Because we no longer qualify as an emerging growth company, and as certain extended transition periods available to emerging growth companies expire, we are subject to additional reporting requirements and standards and accelerated filing deadlines for our periodic reports.</w:t>
      </w:r>
    </w:p>
    <w:p>
      <w:pPr>
        <w:spacing w:after="0" w:line="15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management team may not successfully or effectively manage our ongoing transition to a public company, and these significant obligations under federal securities laws. Our limited experience in dealing with the increasingly complex laws pertaining to public companies could be a significant disadvantage in that it is likely that an increasing amount of management's time may be devoted to these activities which will result in less time being devoted to our management and growth. We currently do not, and in the future may not, have adequate personnel with the appropriate level of knowledge, experience and training in the accounting policies, practices or internal controls over financial reporting required of public companies in the United States. As part of our plan to remediate material weaknesses that have already been identified, we intend to expand our employee base and hire additional employees to support our operations as a public company that will increase our operating costs in future periods.</w:t>
      </w:r>
    </w:p>
    <w:p>
      <w:pPr>
        <w:spacing w:after="0" w:line="178"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Furthermore, if any issues in complying with those requirements are identified (for example, identifying a material weakness or significant deficiency in the internal control over financial reporting, as we have already experienced), we could incur additional costs rectifying those issues, and the existence of those issues could adversely affect our reputation or investor perceptions of us.</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It is also more expensive to obtain directors’ and officers’ liability insurance, which we experienced in 2021, and risks associated with our status as a public company may make it more difficult to attract and retain qualified persons to serve on our board of directors or as executive officers. Advocacy efforts by stockholders and third parties may also prompt additional changes in governance and reporting requirements, which could further increase our costs.</w:t>
      </w:r>
    </w:p>
    <w:p>
      <w:pPr>
        <w:spacing w:after="0" w:line="187"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The additional reporting and other obligations imposed by these rules and regulations require us to divert a significant amount of money that could otherwise be used to expand our business and achieve strategic objectives. If we are unable to comply with and implement any changes effectively or efficiently, it could harm our operations, financial reporting, or financial results. While we are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taking steps to implement the systems and processes required to comply with these additional requirements, there can be no assurance that the measures we have taken to date, and are continuing to implement, will enable us to comply fully and in a timely manner.</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Failure to timely implement and maintain adequate financial, information technology and management processes and controls and procedures have resulted and could in the future result in material weaknesses, leading to errors in our financial reporting and adversely affecting our business.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subject to the SEC’s internal control over financial reporting requirements and are subject to the auditor attestation requirements as of the end of the 2021 fiscal year. The design of internal controls over financial reporting has required and will continue to require significant time and resources from management and other personnel.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our management identified the following material weaknesses in internal control over financial reporting:</w:t>
      </w:r>
    </w:p>
    <w:p>
      <w:pPr>
        <w:spacing w:after="0" w:line="248" w:lineRule="exact"/>
        <w:rPr>
          <w:sz w:val="20"/>
          <w:szCs w:val="20"/>
          <w:color w:val="auto"/>
        </w:rPr>
      </w:pPr>
    </w:p>
    <w:p>
      <w:pPr>
        <w:ind w:left="680" w:right="220" w:hanging="321"/>
        <w:spacing w:after="0" w:line="342"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123" w:lineRule="exact"/>
        <w:rPr>
          <w:rFonts w:ascii="Arial" w:cs="Arial" w:eastAsia="Arial" w:hAnsi="Arial"/>
          <w:sz w:val="16"/>
          <w:szCs w:val="16"/>
          <w:color w:val="auto"/>
        </w:rPr>
      </w:pPr>
    </w:p>
    <w:p>
      <w:pPr>
        <w:ind w:left="680" w:right="12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did not have an effective risk assessment process that successfully identified and assessed risks of material misstatement to ensure controls were designed and implemented to respond to those risks; and</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did not have an effective monitoring process to assess the consistent operation of internal control over financial reporting and to remediate known control deficiencies.</w:t>
      </w:r>
    </w:p>
    <w:p>
      <w:pPr>
        <w:spacing w:after="0" w:line="170"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our financial statements would not be prevented or detected on a timely basis.</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These control deficiencies resulted in the restatement of our December 31, 2020 financial statements and our conclusion that our internal control over financial reporting was not effective as of December 31, 2020.</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prepared and implemented a remediation plan in 2021 under the oversight of the audit committee. The plan involved, among other actions,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made significant progress implementing our remediation plan during fiscal year 2021 as the design and implementation of relevant key controls occurred throughout the second half of the year. However, a material weakness will not be considered remediated until the applicable controls operate for a sufficient period of time. Management has concluded, through testing, that the following material weakness in internal control over financial reporting remained as of December 31, 2021: the Company did not have a sufficient number of trained resources with assigned responsibilities and accountability for the implementation and operation of internal controls over financial reporting.</w:t>
      </w:r>
    </w:p>
    <w:p>
      <w:pPr>
        <w:spacing w:after="0" w:line="192"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As a consequence of the above material weakness, the Company did not effectively implement and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6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Accordingly, management concluded that our internal control over financial reporting was not effective as of December 31, 2021 and our independent registered public accounting firm was not able to attest to the effectiveness of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plan to continue to hire and train additional qualified personnel and to test the effectiveness of the controls implemented pursuant to the remediation plan in order to conclude that they are operating effectively, however, there can be no assurance that this will occur within 2022 or that we will be successful in remediating the material weakness.</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not remediated, this material weakness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Class A common stock could be adversely affected and we could become subject to litigation or investigations by Nasdaq, the SEC, or other regulatory authorities, which could require additional financial and management resources.</w:t>
      </w:r>
    </w:p>
    <w:p>
      <w:pPr>
        <w:spacing w:after="0" w:line="195"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Further, additional weaknesses in our internal controls may be discovered in the future. Any failure to develop or maintain effective controls, or any difficulties encountered in our implementation or improvement, could adversely affect our operating results or cause us to fail to meet our reporting obligations and may result in a restatement of our financial statements for prior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Class A common stock is currently listed on Nasdaq. Our continued eligibility for listing may depend on, among other things, compliance with minimum price and corporate governance requirements and timely filings with the SEC. If Nasdaq delists our Class A common stock from trading on its exchange for failure to meet the Nasdaq listing standards, we and our stockholders could face significant material adverse consequences including:</w:t>
      </w:r>
    </w:p>
    <w:p>
      <w:pPr>
        <w:spacing w:after="0" w:line="187"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6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8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Provisions in our Charter may prevent or delay an acquisition of us, which could decrease the trading price of our Class A common stock, or otherwise may make it more difficult for certain provisions of the Charter to be amended.</w:t>
      </w:r>
    </w:p>
    <w:p>
      <w:pPr>
        <w:spacing w:after="0" w:line="14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124"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board of directors that is divided into three classes with staggered terms;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right of stockholders to remove directors without cause;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right of stockholders to call special meetings of stockholders.</w:t>
      </w:r>
    </w:p>
    <w:p>
      <w:pPr>
        <w:spacing w:after="0" w:line="22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stockholders and could delay or prevent an acquisition that our board of directors determines is not in our and our stockholders’ best interests.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the DGCL or the Charter or our Bylaws (in each case, as they may be amended from time to time), or as to which the DGCL confers jurisdiction on the Court of Chancery of the State of Delaware.</w:t>
      </w:r>
    </w:p>
    <w:p>
      <w:pPr>
        <w:spacing w:after="0" w:line="17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 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16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Charter provides that the exclusive forum provision will be applicable to the fullest extent permitted by applicable law. Section 27 of the Securities and Exchange Act of 1934, as amended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rule or regulation promulgated thereunder (in each case, as amended), or any other claim over which the federal courts have exclusive jurisdiction.</w:t>
      </w:r>
    </w:p>
    <w:p>
      <w:pPr>
        <w:spacing w:after="0" w:line="16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Warrants with the approval by the holders of at least 50% of the then-outstanding Warrants. As a result, the exercise price of the Warrants could be increased, the exercise period could be shortened and the number of shares of our Class A common stock purchasable upon exercise of a Warrant could be decreased, all without the approval of the holder of any such Warrant.</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Warrants were issued in registered form under the Warrant Agreement between American Stock Transfer &amp; Trust Company, as warrant agent, and us (the “Warrant Agreement”). The Warrant Agreement provides that the terms of the Warrants may be amended without the consent of any holder to cure any ambiguity or correct any defective provision, but requires the approval by the holders of at least 50% of the then-outstanding Private Placement Warrants to make any change that affects the interests of the registered holders of Private Placement Warrants. Accordingly, we may amend the terms of the Warrants in a manner adverse to a holder if holders of at least 50% of the then-outstanding Private Placement Warrants approve of such amendment. Although our ability to amend the terms of the Warrants with such consent is unlimited, examples of such amendments could be amendments to, among other things, increase the exercise price of the Warrants, convert the Warrants into cash, shorten the exercise period or decrease the number of shares of our Class A common stock purchasable upon exercise of a Warrant.</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redeem the unexpired Warrants prior to their exercise at a time that is disadvantageous to Warrant holders, thereby making their Warrants worthless.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Sponsor, our Anchor Investor or their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w:t>
      </w:r>
      <w:r>
        <w:rPr>
          <w:rFonts w:ascii="Arial" w:cs="Arial" w:eastAsia="Arial" w:hAnsi="Arial"/>
          <w:sz w:val="18"/>
          <w:szCs w:val="18"/>
          <w:b w:val="1"/>
          <w:bCs w:val="1"/>
          <w:color w:val="000000"/>
        </w:rPr>
        <w:t>SE OF PROCEEDS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All of the Class A common stock and Private Placement Warrants offered by the Selling Securityholders pursuant to this prospectus will be sold by the Selling Securityholders for their respective accounts. We will not receive any proceeds from the sale of our securities by the Selling Securityholders pursuant to this prospectus.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will receive up to an aggregate of approximately $43.1 million from the exercise of the Warrants, assuming the exercise in full of all of the Warrants for cash. There is no assurance that the holders of the Warrants will elect to exercise any or all of such Warrants. To the extent that any Warrants are exercised on a “cashless basis,” the amount of cash we would receive from the exercise of the Warrants will decrease. We will have broad discretion regarding the timing and application of the net proceeds from this offering. We expect to use the net proceeds from the exercise of any Warrants for general corporate purposes. Pending the ultimate use of such proceeds, we may invest the net proceeds in short-term, investment-grade, interest- bearing instruments.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or Private Placement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MARKET INFORMATION FOR CLASS A COMMON STOCK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currently trades on the Nasdaq Global Select Market under the symbol “RIDE.”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1, 2022, the shares of Class A common stock issued and outstanding were held of record by approximately 33 holders, and the Warrants outstanding were held of record by approximately 31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MANAGEMENT’S DISCUSSION AND ANALYSIS OF FINANCIAL CONDITION AND RESULTS OF OPERATIONS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the information set forth under the heading. “Risk Factors” for a discussion of these risks and uncertainties, including without limitation, with respect to our estimated production timeline, need for additional financing and the risks related to our planned transactions with Foxconn.</w:t>
      </w:r>
    </w:p>
    <w:p>
      <w:pPr>
        <w:spacing w:after="0" w:line="17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mission is to accelerate electric vehicle adoption and to be a catalyst in the transition of commercial fleets to all-electric vehicles for a more sustainable future. We are an electric vehicle (“EV”) innovator focused on developing high-quality light-duty work vehicles.</w:t>
      </w:r>
    </w:p>
    <w:p>
      <w:pPr>
        <w:spacing w:after="0" w:line="1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We are building pre-production vehicles (“PPV”) for testing, validation, certification, and regulatory approvals during the first half of 2022. Subject to raising sufficient capital, completion of the transactions under the Asset Purchase Agreement with Foxconn (See “</w:t>
      </w:r>
      <w:r>
        <w:rPr>
          <w:rFonts w:ascii="Arial" w:cs="Arial" w:eastAsia="Arial" w:hAnsi="Arial"/>
          <w:sz w:val="18"/>
          <w:szCs w:val="18"/>
          <w:i w:val="1"/>
          <w:iCs w:val="1"/>
          <w:color w:val="auto"/>
        </w:rPr>
        <w:t>Business – Foxconn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and satisfactory completion of testing and receipt of regulatory approvals, we currently expect commercial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 of the Endurance to begin in the third quarter of 2022.</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current cost of our bill of materials for the Endurance is well above our anticipated selling price. While we expect to achieve cost improvements over time, we do not anticipate reaching a positive gross margin for the foreseeable future. As a result, we will incur significant losses with each vehicle we sell. The primary factor driving the high material costs are our use of prototype components produced from soft tools that are intended for very low volumes. We anticipate allocating substantial capital investment in hard tools that are designed for long term use and higher production volumes. We have identified significant piece price savings from these investments that we anticipate realizing over time. However, no assurances can be made that we will have sufficient capital to make these investments, or our suppliers will be willing or able to manufacture the tools or achieve the lower piece prices. Until such time as we are able to lower the bill of materials cost, we are likely to limit our expected production in order to minimize our losses, which we anticipate to be through 2023 or potentially longer.</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 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an increase in fixed costs.</w:t>
      </w:r>
    </w:p>
    <w:p>
      <w:pPr>
        <w:spacing w:after="0" w:line="16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intend to leverage our advanced technologies and highly talented team to develop additional all-electric vehicles targeted for the commercial market. See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risks associated with the capital required to execute our business plan, the Foxconn Transactions and our production timeline.</w:t>
      </w:r>
    </w:p>
    <w:p>
      <w:pPr>
        <w:spacing w:after="0" w:line="18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the fourth quarter of 2021, we entered into agreements with Foxconn (see “</w:t>
      </w:r>
      <w:r>
        <w:rPr>
          <w:rFonts w:ascii="Arial" w:cs="Arial" w:eastAsia="Arial" w:hAnsi="Arial"/>
          <w:sz w:val="16"/>
          <w:szCs w:val="16"/>
          <w:i w:val="1"/>
          <w:iCs w:val="1"/>
          <w:color w:val="auto"/>
        </w:rPr>
        <w:t>Business – Foxconn Transactions</w:t>
      </w:r>
      <w:r>
        <w:rPr>
          <w:rFonts w:ascii="Arial" w:cs="Arial" w:eastAsia="Arial" w:hAnsi="Arial"/>
          <w:sz w:val="16"/>
          <w:szCs w:val="16"/>
          <w:color w:val="auto"/>
        </w:rPr>
        <w:t>”), that would result in more than $280 million in funding for the Company, if consummated. We have already received $200 million from Foxconn as of January 28, 2022 in the form of down payments and for the purchase of our Class A common stock. The Foxconn Transactions represent a shift in our business strategy from a fully vertically integrated designer, developer and manufacturer of EVs into a less capital-intensive business focused on developing, engineering, testing and industrializing vehicles in partnership with Foxconn.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connection with the Foxconn Transactions, Foxconn Ohio would purchase the Lordstown facility for $230 million and a reimbursement payment for certain operating and expansion costs incurred by us from September 1, 2021 through the closing. We would continue to own our hub motor assembly line, as well as our battery module and pack line assets, certain intellectual property rights and other excluded assets. We expect to outsource all of the manufacturing of the Endurance to Foxconn with the sale of our Lordstown facility; Foxconn will also operate the assets we continue to own in the facility after closing. The sale of the Lordstown facility would allow us to meaningfully reduce our operating complexity and fixed cost structure by transferring to Foxconn the current and future manufacturing employees along with fixed overhead costs, such as maintenance, utilities, insurance and more. We believe that outsourcing our manufacturing to a highly qualified partner would enable us to leverage Foxconn’s technology, supply chain network and expertise to accelerate the launch of current and future vehicle programs. Furthermore, we believe we would realize the benefits of scaled manufacturing sooner as Foxconn contracts with other OEMs to produce their vehicles in the Lordstown facility.</w:t>
      </w:r>
    </w:p>
    <w:p>
      <w:pPr>
        <w:spacing w:after="0" w:line="16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We are also exploring other potential agreements with Foxconn that would establish a joint product development agreement for future MIH-based vehicles and an appropriate funding structure. See “</w:t>
      </w:r>
      <w:r>
        <w:rPr>
          <w:rFonts w:ascii="Arial" w:cs="Arial" w:eastAsia="Arial" w:hAnsi="Arial"/>
          <w:sz w:val="18"/>
          <w:szCs w:val="18"/>
          <w:i w:val="1"/>
          <w:iCs w:val="1"/>
          <w:color w:val="auto"/>
        </w:rPr>
        <w:t>Business – Foxconn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risks associated with the Foxconn Transactions and our capital needs,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risks.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 ended December 31, 2021 to December 31, 2020</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3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284,016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70,966</w:t>
            </w:r>
          </w:p>
        </w:tc>
      </w:tr>
      <w:tr>
        <w:trPr>
          <w:trHeight w:val="216"/>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400,489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102,283</w:t>
            </w:r>
          </w:p>
        </w:tc>
      </w:tr>
      <w:tr>
        <w:trPr>
          <w:trHeight w:val="21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(102,283)</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r>
      <w:tr>
        <w:trPr>
          <w:trHeight w:val="216"/>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(expense)</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10"/>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before income taxes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(124,050)</w:t>
            </w:r>
          </w:p>
        </w:tc>
      </w:tr>
      <w:tr>
        <w:trPr>
          <w:trHeight w:val="216"/>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(410,368)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(124,050)</w:t>
            </w: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(“SG&amp;A”) generally consist of personnel and facilities costs related to marketing, sales, executive, finance, human resources, information technology and legal organizations, as well as fees for certain professional and contract services.</w:t>
      </w:r>
    </w:p>
    <w:p>
      <w:pPr>
        <w:spacing w:after="0" w:line="18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SG&amp;A increased from $31.3 million for the year ended December 31, 2020 to $105.4 million for the year ended December 31, 2021 primarily due to a $21.3 million increase in personnel costs and $43.5 million increase in legal and insurance costs. Our legal costs have risen due to ongoing litigation and government investigations. Insurance costs have increased due primarily to higher pricing and expanded coverages, including director and officer policies and coverage on new investments made in the Lordstown facility.</w:t>
      </w:r>
    </w:p>
    <w:p>
      <w:pPr>
        <w:spacing w:after="0" w:line="157" w:lineRule="exact"/>
        <w:rPr>
          <w:sz w:val="20"/>
          <w:szCs w:val="20"/>
          <w:color w:val="auto"/>
        </w:rPr>
      </w:pPr>
    </w:p>
    <w:p>
      <w:pPr>
        <w:jc w:val="both"/>
        <w:ind w:right="720" w:firstLine="324"/>
        <w:spacing w:after="0" w:line="263" w:lineRule="auto"/>
        <w:rPr>
          <w:sz w:val="20"/>
          <w:szCs w:val="20"/>
          <w:color w:val="auto"/>
        </w:rPr>
      </w:pPr>
      <w:r>
        <w:rPr>
          <w:rFonts w:ascii="Arial" w:cs="Arial" w:eastAsia="Arial" w:hAnsi="Arial"/>
          <w:sz w:val="18"/>
          <w:szCs w:val="18"/>
          <w:color w:val="auto"/>
        </w:rPr>
        <w:t>Research &amp; Development (R&amp;D) expenses consist primarily of personnel costs for our teams in engineering and research, manufacturing and test organizations, prototype components, as well as contract and outside engineering services to support the development, engineering and testing of beta and PPV vehicles.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R&amp;D increased from $71.0 million for the year ended December 31, 2020 to $284.0 million for the year ended December 31, 2021 primarily due to increases of $101.9 million and $86.7 million in personnel and consulting costs and prototype component costs, respectively.</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 technologies we would use in future vehicles. Given the lack of Workhorse technology used in the Endurance and the current management’s strategic direction of the Company, inclusive of the transactions contemplated with Foxconn, we deemed it appropriate to change the useful life of the technology we acquired from Workhorse to zero months. As such, we recorded accelerated amortization of $11.1 million during the year ended December 31,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in the year ended December 31, 2021 and 2020 mainly consisted of changes in fair value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business plan contemplates that we will build a limited number of pre-production vehicles in the first half of 2022 for testing, certification and to demonstrate the capabilities of the Endurance to potential customers. We expect commercial production and sales to begin in the third quarter of 2022. While conducting these activities, and for the foreseeable future, we will incur significant operating expenses, capital expenditures and working capital funding that will deplete our cash on hand. Absent any material delays, we anticipate that we have sufficient funds to close the Foxconn Transactions and receive the proceeds as contemplated by the Asset Purchase Agreement. However, we will be required to raise additional capital in order to execute our business plan well in advance of reaching commercial production of the Endurance. The proceeds contemplated in the Asset Purchase Agreement will not be sufficient for these purposes. In addition, the closing of the APA remains subject to certain conditions, and if the transaction does not close, we will be required to repay the down payments made by Foxconn and it is unlikely we will have funding available to do so.</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2021, our research and development expenses and capital expenditures increased significantly over 2020 levels to build capacity and invest in the development of the Endurance. The costs are significant due to spending needed for prototype components, vehicle validation tests, securing necessary parts/equipment, and utilizing in-house and third-party engineering services. Increased spending was also due in part to the stress that the COVID-19 pandemic put on the global automotive supply chain and a strategic decision to bring development of certain components, such as the frame of the Endurance, in-house. We expect continued supply chain constraints and pricing pressure that may negatively impact our cost structure and production timeline. See “</w:t>
      </w:r>
      <w:r>
        <w:rPr>
          <w:rFonts w:ascii="Arial" w:cs="Arial" w:eastAsia="Arial" w:hAnsi="Arial"/>
          <w:sz w:val="17"/>
          <w:szCs w:val="17"/>
          <w:i w:val="1"/>
          <w:iCs w:val="1"/>
          <w:color w:val="auto"/>
        </w:rPr>
        <w:t>Risk Factors</w:t>
      </w:r>
      <w:r>
        <w:rPr>
          <w:rFonts w:ascii="Arial" w:cs="Arial" w:eastAsia="Arial" w:hAnsi="Arial"/>
          <w:sz w:val="17"/>
          <w:szCs w:val="17"/>
          <w:color w:val="auto"/>
        </w:rPr>
        <w:t>” for further discussion of the risks associated with disruptions to the supply chain.</w:t>
      </w:r>
    </w:p>
    <w:p>
      <w:pPr>
        <w:spacing w:after="0" w:line="177"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In addition, in order to secure adequate supply of battery cells, we have an agreement with a certain supplier that obligates us to purchase a minimum volume estimated to be $16.3 million in 2022, subject to change for fluctuations in raw material pricing.</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had cash and cash equivalents of approximately $244.0 million as of December 31, 2021, an accumulated deficit of $544.8 million at December 31, 2021 and a net loss of $410.4 million for the year ended December 31, 2021. Our ability to continue as a going concern is dependent on our ability to raise the necessary capital, complete the development of our electric vehicles, obtain regulatory approval, begin commercial scale production and launch the sale of such vehicles.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our current level of cash and cash equivalents is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report.</w:t>
      </w:r>
    </w:p>
    <w:p>
      <w:pPr>
        <w:spacing w:after="0" w:line="16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an effort to alleviate these conditions, management continues to seek and evaluate opportunities to raise additional funds through the issuance of equity or debt securities, asset sales, arrangements with strategic partners or through obtaining financing from government or financial institutions. We have engaged a financial advisor to advise the Company on additional financing alternatives.</w:t>
      </w:r>
    </w:p>
    <w:p>
      <w:pPr>
        <w:spacing w:after="0" w:line="1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part of our funding efforts, on July 23, 2021, the Company entered into the Equity Purchase Agreement with YA, pursuant to which YA has committed to purchase up to $400 million of our Class A common stock, at our direction from time to time, subject to the satisfaction of certain conditions. During the year ended December 31, 2021, we issued 9.6 million shares to YA and received $49.4 million cash, net of equity issuance costs.</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actual amount that we raise under the Equity Purchase Agreement will depend on market conditions and other financing alternatives that we are exploring, as well as limitations in the agreement. In particular, at current market prices of our shares of Class A common stock, without stockholder approval, the Exchange Cap provision would limit the amount of shares we can issue to 35.1 million shares, and therefore limit funds we are able to raise to significantly less than the $400 million commitment under the Equity Purchase Agreement. As of December 31, 2021, we were in compliance with the terms and conditions of the Equity Purchase Agreement and the remaining availability under the Equity Purchase Agreement was $350 million which is subject to certain limitations as described above and in Note 7 of the consolidated financial statements.</w:t>
      </w:r>
    </w:p>
    <w:p>
      <w:pPr>
        <w:spacing w:after="0" w:line="17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November 10, 2021, we entered into the APA with Foxconn, pursuant to which Foxconn would purchase the Lordstown facility for $230 million and a reimbursement payment for certain operating and expansion costs incurred by us from September 1, 2021 through the closing. We would continue to own our hub motor assembly line, as well as our battery module and pack line assets, certain intellectual property rights and other excluded assets. Foxconn has made down payments of the purchase price of $100 million on November 18, 2021 and $50 million on January 28, 2022. Foxconn is required to make an additional down payment of $50 million no later than April 15, 2022, subject to certain conditions. The balance of the purchase price, along with reimbursement of certain operating and expansion costs would be paid at closing. We are required to maintain minimum cash balances of $50 million through March 1, 2022 and $30 million thereafter. In connection with the closing, the Company will issue warrants to Foxconn that are exercisable until the third anniversary of the closing for 1.7 million shares of Class A common stock at an exercise price of $10.50 per share.</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 The APA is subject to several conditions and has not been consummated as of the date of the filing of this report. No assurance can be made that it will ultimately be consummated on the terms contemplated, or at all.</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We are also exploring other potential agreements with Foxconn that would establish a joint product development agreement for future MIH-based vehicles and an appropriate funding structure. No assurance can be made that the joint product development agreement, an appropriate funding structure or other potential agreements would ultimately be entered or consummated on the terms contemplated, or at all.</w:t>
      </w:r>
    </w:p>
    <w:p>
      <w:pPr>
        <w:spacing w:after="0" w:line="192"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Business – Foxconn Transactions</w:t>
      </w:r>
      <w:r>
        <w:rPr>
          <w:rFonts w:ascii="Arial" w:cs="Arial" w:eastAsia="Arial" w:hAnsi="Arial"/>
          <w:sz w:val="16"/>
          <w:szCs w:val="16"/>
          <w:color w:val="auto"/>
        </w:rPr>
        <w:t>” and “</w:t>
      </w:r>
      <w:r>
        <w:rPr>
          <w:rFonts w:ascii="Arial" w:cs="Arial" w:eastAsia="Arial" w:hAnsi="Arial"/>
          <w:sz w:val="16"/>
          <w:szCs w:val="16"/>
          <w:i w:val="1"/>
          <w:iCs w:val="1"/>
          <w:color w:val="auto"/>
        </w:rPr>
        <w:t>Risk Factors</w:t>
      </w:r>
      <w:r>
        <w:rPr>
          <w:rFonts w:ascii="Arial" w:cs="Arial" w:eastAsia="Arial" w:hAnsi="Arial"/>
          <w:sz w:val="16"/>
          <w:szCs w:val="16"/>
          <w:color w:val="auto"/>
        </w:rPr>
        <w:t>” for further discussion of the risks associated with the Foxconn Transactions and other agreements being contemplated, including a joint product development agreement, and our capital needs, among other risks. Even if the Foxconn Transactions are consummated in accordance with the current terms and on the anticipated timeline, we will need additional funding to continue our development efforts and maintain current plans for our production timeline.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accepted an invitation from the U.S. Department of Energy to start the process toward securing an ATVM loan and are currently in the due diligence phase. If we are successful in completing this stage, we may receive a term sheet, but we cannot guarantee we will reach that stage or be approved for a loan or provide any assurance as to the amount or timing of any loan that we may receive. We have been informed that an ATVM loan would likely be secured by a first priority lien on our assets. In the near term, we do not believe that we would be able to satisfy the conditions to obtain an ATVM loan, including the requirement to demonstrate our viability as a company.</w:t>
      </w:r>
    </w:p>
    <w:p>
      <w:pPr>
        <w:spacing w:after="0" w:line="161"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related to ongoing litigation and the SEC investigation, our performance and investor sentiment with respect to us and our business and industry, as well as our pending transaction with Foxconn. As a result of these uncertainties, and notwithstanding management’s plans and efforts to date, there continues to be substantial doubt about our ability to continue as a going concern.</w:t>
      </w:r>
    </w:p>
    <w:p>
      <w:pPr>
        <w:spacing w:after="0" w:line="17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If we are unable to raise substantial additional capital in the near term, our operations and production plans will be scaled back or curtailed and, if any funds raised are insufficient to provide a bridge to full commercial production, our operations could be severely curtailed or cease entirely. We will be materially adversely affected if the Foxconn Transactions do not close. If the APA does not close, including because we are unable to fulfill our obligations to maintain our minimum cash balance commitments under the APA, we are unlikely to have sufficient available cash to repay Foxconn’s down payments. As a result, Foxconn may exercise its rights under the APA, including, but not limited to foreclosing on its liens on some or substantially all of the Company’s assets. Under such circumstances, we would not likely be able to continue as a going concern or realize any value from our assets.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risks associated with our need for additional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397"/>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right"/>
              <w:ind w:right="67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2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December 31, 2021</w:t>
            </w: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used by operating activities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used by investing activities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(285,514)</w:t>
            </w:r>
          </w:p>
        </w:tc>
        <w:tc>
          <w:tcPr>
            <w:tcW w:w="5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(50,249)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287,759</w:t>
            </w:r>
          </w:p>
        </w:tc>
        <w:tc>
          <w:tcPr>
            <w:tcW w:w="5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777,447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cash flows from operating activities are significantly affected by our cash investments to support the continuation and growth of our business in areas such as research and development and selling, general and administrative expenses.</w:t>
      </w:r>
    </w:p>
    <w:p>
      <w:pPr>
        <w:spacing w:after="0" w:line="1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Net cash used in operating activities increased to $388.0 million during the year ended December 31, 2021 compared to $99.6 million for the year ended December 31, 2020. This increase was primarily due to increases in our net operating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net cash used in investing activities increased to $285.5 million for the year ended December 31, 2021 compared to $50.2 million for the year ended December 31, 2020. This increase was primarily due to purchases of capital assets related to the Lordstown facility re-tooling in preparation for the manufacturing of the Endurance pickup truck, along with other investments in IT hardware and infrastructure to support the long-term needs of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Cash flows from financing activities during the year ended December 31, 2021 was $287.8 million compared to $777.4 million for the year ended December 31, 2020. Cash flows from financing activities during the year ended December 31, 2021 consisted primarily of $100 million down payment from Foxconn, $50 million from the Subscription Agreement with Foxconn, $82 million in proceeds from the exercise of warrants and $49.4 million from sales under the Equity Purchase Agreement, net of issuance costs. Cash flows from financing activities during the year ended December 31, 2020 consisted primarily of $701.5 million from cash received in recapitalization, net of transaction costs, $38.8 million from notes payable and $30.7 million from shares issued for exercise warrants.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25"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accompanying financial statements have been prepared on a going concern basis of accounting, which contemplates continuity of operations, realization of assets and liabilities and commitments in the normal course of business. The accompanying financial statements do not reflect any adjustments that might result if the Company is unable to continue as a going concern. In connection with the preparation of the consolidated financial statements for the years ended December 31, 2021 and 2020,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years ended December 31, 2021 and 2020, expressed substantial doubt about our ability to continue as a going concern.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184"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Company accounts for its Public and Private Warrants as described in Note 3 to the consolidated financial statements in accordance with the guidance contained in ASC Topic 815-40-15-7D and 7F under which the Public Warrants and Private Warrants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 (iii) 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185"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1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Company’s management with the participation of the Chief Executive Officer and Chief Financial Officer, under the oversight of our Board of Directors, has assessed the effectiveness of the Company’s internal control over financial reporting as of December 31, 2021 based on criteria established in the Internal Control-Integrated Framework in 2013 issued by the Committee of Sponsoring Organizations of the Treadway Commission (COSO). As a result of this assessment, management concluded that the following material weakness in internal control over financial reporting reported in our Annual Report on Form 10-K/A for our fiscal year ended December 31, 2020 continues to exist as of December 31, 2021:</w:t>
      </w:r>
    </w:p>
    <w:p>
      <w:pPr>
        <w:spacing w:after="0" w:line="178" w:lineRule="exact"/>
        <w:rPr>
          <w:sz w:val="20"/>
          <w:szCs w:val="20"/>
          <w:color w:val="auto"/>
        </w:rPr>
      </w:pPr>
    </w:p>
    <w:p>
      <w:pPr>
        <w:ind w:left="1000" w:right="26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responsibilities and accountability for the design and operation of internal controls over financial reporting.</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a consequence,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84"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These control deficiencies create a reasonable possibility that a material misstatement to the consolidated financial statements will not be prevented or detected on a timely basis, and therefore we conclude that the deficiencies represent a material weakness in internal control over financial reporting and our internal control over financial reporting is not effective as of December 31, 2021.</w:t>
      </w:r>
    </w:p>
    <w:p>
      <w:pPr>
        <w:spacing w:after="0" w:line="14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KPMG LLP, an independent registered public accounting firm, has audited the Company’s consolidated financial statements and has issued an adverse report on the effectiveness of internal control over financial reporting, which is included herein.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Remediation Plan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identification of the material weaknesses that existed as of the year ended December 31, 2020, our management believes that we have made extensive changes to implement our remediation plan during 2021. The Board and management, with the assistance of our third-party consultants and oversight of the Audit Committee, have implemented, among other items, the following measures to address the material weaknesses identified:</w:t>
      </w:r>
    </w:p>
    <w:p>
      <w:pPr>
        <w:spacing w:after="0" w:line="187" w:lineRule="exact"/>
        <w:rPr>
          <w:sz w:val="20"/>
          <w:szCs w:val="20"/>
          <w:color w:val="auto"/>
        </w:rPr>
      </w:pPr>
    </w:p>
    <w:p>
      <w:pPr>
        <w:ind w:left="1000" w:right="16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hired and trained additional qualified personnel, including but not limited to our Chief Executive Officer, Chief Financial Officer, Vice President of Finance and Controller, and Director of SEC Reporting</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performed detailed risk assessments in key process areas to identify risks of material misstatement</w:t>
      </w:r>
    </w:p>
    <w:p>
      <w:pPr>
        <w:spacing w:after="0" w:line="225" w:lineRule="exact"/>
        <w:rPr>
          <w:rFonts w:ascii="Arial" w:cs="Arial" w:eastAsia="Arial" w:hAnsi="Arial"/>
          <w:sz w:val="18"/>
          <w:szCs w:val="18"/>
          <w:color w:val="auto"/>
        </w:rPr>
      </w:pPr>
    </w:p>
    <w:p>
      <w:pPr>
        <w:ind w:left="1000" w:right="44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assistance of a large nationally recognized accounting firm, designed and implemented control procedures to address the identified risks of material misstatements in key process areas</w:t>
      </w:r>
    </w:p>
    <w:p>
      <w:pPr>
        <w:spacing w:after="0" w:line="170" w:lineRule="exact"/>
        <w:rPr>
          <w:rFonts w:ascii="Arial" w:cs="Arial" w:eastAsia="Arial" w:hAnsi="Arial"/>
          <w:sz w:val="18"/>
          <w:szCs w:val="18"/>
          <w:color w:val="auto"/>
        </w:rPr>
      </w:pPr>
    </w:p>
    <w:p>
      <w:pPr>
        <w:ind w:left="1000" w:right="8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a new SOX software which details the control design, the tracking of SOX deliverables for testing, documentation of testing results and subsequent follow-up</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acquired and began the implementation of a new accounts payable system</w:t>
      </w:r>
    </w:p>
    <w:p>
      <w:pPr>
        <w:spacing w:after="0" w:line="225" w:lineRule="exact"/>
        <w:rPr>
          <w:rFonts w:ascii="Arial" w:cs="Arial" w:eastAsia="Arial" w:hAnsi="Arial"/>
          <w:sz w:val="18"/>
          <w:szCs w:val="18"/>
          <w:color w:val="auto"/>
        </w:rPr>
      </w:pPr>
    </w:p>
    <w:p>
      <w:pPr>
        <w:ind w:left="1000" w:right="3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initiated changes to our procure-to-pay process, including significantly increasing executive oversight and involvement with purchasing activities</w:t>
      </w:r>
    </w:p>
    <w:p>
      <w:pPr>
        <w:spacing w:after="0" w:line="170"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monitoring activities that hold personnel accountable to their responsibilities for the design and implementation of internal controls over financial reporting.</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Under the COSO framework, a material weakness will not be considered remediated until the applicable controls operate for a sufficient period of time. While significant progress was made on the remediation plan during fiscal year 2021, the vast majority of the implementation of relevant key controls occurred throughout the second half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 remediation actions we completed, and our testing of the control improvements implemented as of December 31, 2021, we believe the following material weaknesses disclosed as of December 31, 2020 no longer exist:</w:t>
      </w:r>
    </w:p>
    <w:p>
      <w:pPr>
        <w:spacing w:after="0" w:line="170"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did not have resources with the appropriate technical accounting skills.</w:t>
      </w:r>
    </w:p>
    <w:p>
      <w:pPr>
        <w:spacing w:after="0" w:line="225" w:lineRule="exact"/>
        <w:rPr>
          <w:rFonts w:ascii="Arial" w:cs="Arial" w:eastAsia="Arial" w:hAnsi="Arial"/>
          <w:sz w:val="18"/>
          <w:szCs w:val="18"/>
          <w:color w:val="auto"/>
        </w:rPr>
      </w:pPr>
    </w:p>
    <w:p>
      <w:pPr>
        <w:ind w:left="1000" w:right="16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170" w:lineRule="exact"/>
        <w:rPr>
          <w:rFonts w:ascii="Arial" w:cs="Arial" w:eastAsia="Arial" w:hAnsi="Arial"/>
          <w:sz w:val="18"/>
          <w:szCs w:val="18"/>
          <w:color w:val="auto"/>
        </w:rPr>
      </w:pPr>
    </w:p>
    <w:p>
      <w:pPr>
        <w:ind w:left="1000" w:right="48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Management is continuing to test the effectiveness of the controls implemented pursuant to the remediation plan described above, as well as seeking to hire additional well-qualified personnel and utilize outside consultants, in order to conclude that our internal controls are operating effectively. We believe that these actions and the expected improvements will strengthen our internal control over financial reporting and remediate the remaining material weakness, however, there can be no assurance that this will occur during 2022.</w:t>
      </w:r>
    </w:p>
    <w:p>
      <w:pPr>
        <w:spacing w:after="0" w:line="15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Notwithstanding the identified material weaknesses, management believes that the consolidated financial statements included in this prospectus present fairly in all material respects our consolidated financial position, results of operations and cash flows for the period presented.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Rules 13a-15(d) and 15d-15(d) of the Exchange Act that occurred during our fourth quarter of 2021 that have materially affected, or are reasonably likely to materially affect, our internal control over financial reporting except for the remediation efforts with regard to the material weaknesses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125" w:right="11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EV innovator focused on developing high-quality light-duty work vehicles. We believe we are one of the only North American light duty OEMs focused solely on EVs for commercial fleet customers. We believe the large commercial fleet market presents a unique opportunity to target with vehicles designed specifically for the needs of these customers. We are implementing a strategy designed to accelerate the launch of new commercial EVs. This includes working on our own vehicle programs as well as partnering with third parties as we seek to leverage our experience, our proprietary and open-source technologies and our existing vehicle platform to more efficiently develop and launch electric vehicles, to enhance capital efficiency and achieve profitability sooner.</w:t>
      </w:r>
    </w:p>
    <w:p>
      <w:pPr>
        <w:spacing w:after="0" w:line="19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We are building PPV for testing, validation, certification, and regulatory approvals during the first half of 2022. Subject to raising sufficient capital, completion of the transactions under the Asset Purchase Agreement with Foxconn (discussed below), and satisfactory completion of testing and receipt of regulatory approvals, we expect commercial production and sales of the Endurance to begin in the third quarter of 2022. We intend to leverage our advanced technologies and highly talented team to develop additional all-electric vehicles targeted for the commercial market.</w:t>
      </w:r>
    </w:p>
    <w:p>
      <w:pPr>
        <w:spacing w:after="0" w:line="19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November 2019 we acquired the 6.2 million square feet Lordstown, Ohio assembly complex from General Motors (“GM”). The facility was in a near-production-ready state, with manufacturing lines and equipment already in place. Since acquiring the plant we have hired more than 430 employees to work in the facility, many of whom were long tenured former GM employees at the Lordstown facility. We have invested approximately $173 million through December 31, 2021 to facilitate the conversion of the plant from manufacturing a high-volume internal combustion engine passenger car to an advanced full-size EV pickup truck plant. Our investments include purchasing the equipment necessary to scale manufacturing and assemble hub motors and battery packs. We have also hired highly experienced new executives, engineering and broader corporate talent to help us execute our plan. These new personnel bring proven track records executing large scale vehicle launches, extensive experience in automotive design and engineering as well as operational and strategic know-how to lead our organization through our transformation and into the future.</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the fourth quarter of 2021, we entered into agreements with Foxconn as described below, that would result in more than $280 million in funding for the Company, if consummated. We have already received $200 million from Foxconn as of January 28, 2022 in the form of down payments under the Asset Purchase Agreement and for the purchase of our Class A common stock.</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Pursuant to the Asset Purchase Agreement, Foxconn Ohio will purchase the Lordstown facility for $230 million and reimburse certain operating and expansion costs incurred by us from September 1, 2021 through the closing. We would continue to own our hub motor assembly line, as well as our battery module and pack line assets, certain intellectual property rights and other excluded assets. We expect to outsource all of the manufacturing of the Endurance to Foxconn with the sale of our Lordstown facility, including the operation of the assets we continue to own in the facility after closing under the Contract Manufacturing Agreement. As noted above, Foxconn Ohio has made down payments of the purchase price of $100 million on November 18, 2021 and $50 million on January 28, 2022. Foxconn Ohio is required to make an additional down payment of $50 million no later than April 15, 2022, subject to certain conditions. The balance of the purchase price, along with reimbursement of certain operating and expansion costs would be paid at closing. 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 In addition to the $150 million in down payments under the APA, we issued $50 million of our Class A common stock to Foxconn at a price of $6.8983 per share on October 12, 2021, pursuant to a separate subscription agreement. The APA is subject to certain conditions and has not been consummated as of the date of the filing of this prospectus. No assurance can be made that it will ultimately be consummated on the terms contemplated, or at all.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Foxconn Transactions, and other potential relationships with Foxconn (see “</w:t>
      </w:r>
      <w:r>
        <w:rPr>
          <w:rFonts w:ascii="Arial" w:cs="Arial" w:eastAsia="Arial" w:hAnsi="Arial"/>
          <w:sz w:val="17"/>
          <w:szCs w:val="17"/>
          <w:i w:val="1"/>
          <w:iCs w:val="1"/>
          <w:color w:val="auto"/>
        </w:rPr>
        <w:t>Business — Foxconn Transactions</w:t>
      </w:r>
      <w:r>
        <w:rPr>
          <w:rFonts w:ascii="Arial" w:cs="Arial" w:eastAsia="Arial" w:hAnsi="Arial"/>
          <w:sz w:val="17"/>
          <w:szCs w:val="17"/>
          <w:color w:val="auto"/>
        </w:rPr>
        <w:t>”), if achieved, would represent a shift in our business strategy from a fully vertically integrated designer, developer and manufacturer of EVs into a less capital-intensive business focused on developing, engineering, testing and industrializing vehicles in partnership with Foxconn. The sale of the Lordstown facility would allow us to meaningfully reduce our operating complexity and fixed cost structure by transferring to Foxconn the current and future manufacturing employees along with fixed overhead costs, such as maintenance, utilities, insurance and more. Foxconn is one of the world’s largest manufacturers with unique experience scaling operations and an announced strategy to establish a presence in the global EV market. We believe that outsourcing our manufacturing to a highly qualified partner would enable us to leverage Foxconn’s technology, supply chain network and expertise to accelerate the launch of current and future vehicle programs. Furthermore, we believe we would realize the benefits of scaled manufacturing sooner as Foxconn contracts with other OEMs to produce their vehicles in the Lordstown facility.</w:t>
      </w:r>
    </w:p>
    <w:p>
      <w:pPr>
        <w:spacing w:after="0" w:line="18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Under the APA, the parties agreed to use commercially reasonable efforts to enter into a joint venture agreement for the purpose of jointly designing, engineering, developing, validating and launching vehicle programs for the commercial vehicle market in North America and internationally using Foxconn’s Mobility-in-Harmony (“MIH”) platform. The MIH platform will allow multiple OEMs to create a variety of electric vehicle types using a shared hardware and software architecture and manufacturing process. The sharing of these foundational subsystems, components, and processes is expected to enable new vehicles to be brought to market faster and at a lower cost, aligning with our mission to accelerate electric vehicle development and adoption.</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actively discussing establishing a joint product development agreement with Foxconn, under which we would seek to use the MIH platform to develop a portfolio of electric vehicles targeting our commercial fleet customers to be built at the Lordstown, Ohio plant. If successful,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launch commercial production of the Endurance and to raise the additional capital necessary to continue to invest in the Endurance, including in tooling and design enhancements, as well as fund new vehicle development. We continue to explore all financing alternatives as we will need substantial funding to execute our operating plan that is anticipated to use significant capital for the foreseeable future.</w:t>
      </w:r>
    </w:p>
    <w:p>
      <w:pPr>
        <w:spacing w:after="0" w:line="18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and the Lordstown Facility Lease,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 See “</w:t>
      </w:r>
      <w:r>
        <w:rPr>
          <w:rFonts w:ascii="Arial" w:cs="Arial" w:eastAsia="Arial" w:hAnsi="Arial"/>
          <w:sz w:val="18"/>
          <w:szCs w:val="18"/>
          <w:i w:val="1"/>
          <w:iCs w:val="1"/>
          <w:color w:val="auto"/>
        </w:rPr>
        <w:t>Business — Foxconn Transactions</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risks associated with the Foxconn Transactions and other related agreements being contemplated, including a joint product development agreement, and our need to raise additional capital.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 and Strategy</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seek to capture a meaningful share of the commercial fleet electric vehicle market and intend to do so by focusing on the following strengths:</w:t>
      </w:r>
    </w:p>
    <w:p>
      <w:pPr>
        <w:spacing w:after="0" w:line="166" w:lineRule="exact"/>
        <w:rPr>
          <w:sz w:val="20"/>
          <w:szCs w:val="20"/>
          <w:color w:val="auto"/>
        </w:rPr>
      </w:pPr>
    </w:p>
    <w:p>
      <w:pPr>
        <w:ind w:left="680" w:hanging="321"/>
        <w:spacing w:after="0" w:line="26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Near-production-ready plant to build electric vehicles and strategic location. </w:t>
      </w:r>
      <w:r>
        <w:rPr>
          <w:rFonts w:ascii="Arial" w:cs="Arial" w:eastAsia="Arial" w:hAnsi="Arial"/>
          <w:sz w:val="17"/>
          <w:szCs w:val="17"/>
          <w:color w:val="auto"/>
        </w:rPr>
        <w:t>The Lordstown facility is one of the largest</w:t>
      </w:r>
      <w:r>
        <w:rPr>
          <w:rFonts w:ascii="Arial" w:cs="Arial" w:eastAsia="Arial" w:hAnsi="Arial"/>
          <w:sz w:val="17"/>
          <w:szCs w:val="17"/>
          <w:b w:val="1"/>
          <w:bCs w:val="1"/>
          <w:color w:val="auto"/>
        </w:rPr>
        <w:t xml:space="preserve"> </w:t>
      </w:r>
      <w:r>
        <w:rPr>
          <w:rFonts w:ascii="Arial" w:cs="Arial" w:eastAsia="Arial" w:hAnsi="Arial"/>
          <w:sz w:val="17"/>
          <w:szCs w:val="17"/>
          <w:color w:val="auto"/>
        </w:rPr>
        <w:t>automotive assembly plants in North America and is in a near-production-ready state. We acquired the plant for approximately $45 million and have invested approximately $173 million as of December 31, 2021 to facilitate the conversion of the plant from manufacturing a high-volume internal combustion engine passenger car, to an advanced full-size EV pickup truck plant. The Foxconn Transactions would result in the sale of the plant for $230 million plus reimbursement payment for certain operating and capital expenditures from September 1, 2021 through closing. We anticipate a substantial gain on the sale of the plant, as the $173 million of investments in the facility as of December 31, 2021 include our large investments in our battery and in-wheel hub motor lines that are not being sold to Foxconn. Completion of the sale would allow us to generate liquidity at a premium to our investment, partner with Foxconn, and reduce our operating complexity and fixed cost structure. As a condition to the closing of the transaction, we plan to enter into the Contract Manufacturing Agreement to outsource to Foxconn the continued production of the Endurance at the plant. The Lordstown facility is strategically located in Lordstown, Ohio, near the major interstate highway between Cleveland, Ohio, and Pittsburgh, Pennsylvania. Lordstown, Ohio, and the surrounding area is home to a highly trained workforce with experience manufacturing vehicles, as well as an extensive automotive supply base.</w:t>
      </w:r>
    </w:p>
    <w:p>
      <w:pPr>
        <w:spacing w:after="0" w:line="184" w:lineRule="exact"/>
        <w:rPr>
          <w:rFonts w:ascii="Arial" w:cs="Arial" w:eastAsia="Arial" w:hAnsi="Arial"/>
          <w:sz w:val="17"/>
          <w:szCs w:val="17"/>
          <w:color w:val="auto"/>
        </w:rPr>
      </w:pPr>
    </w:p>
    <w:p>
      <w:pPr>
        <w:ind w:left="680" w:right="20" w:hanging="321"/>
        <w:spacing w:after="0" w:line="289"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The Endurance has a unique and efficient design featuring proven in-wheel hub motor, battery pack and powertrain technologies. </w:t>
      </w:r>
      <w:r>
        <w:rPr>
          <w:rFonts w:ascii="Arial" w:cs="Arial" w:eastAsia="Arial" w:hAnsi="Arial"/>
          <w:sz w:val="16"/>
          <w:szCs w:val="16"/>
          <w:color w:val="auto"/>
        </w:rPr>
        <w:t>The technology and engineering developed by us to date have led to operational prototype, beta and pre-production vehicles that have been or are being tested to meet commercial fleet performance standards and regulatory requirements. The design of the Endurance features in-wheel hub motors, that eliminate the need for many parts found in both traditional and existing electric vehicles. In addition, the in-wheel hub motors contribute to the Endurance’s advanced traction handling and maneuverability, features that are important to commercial fleet customers. As a result, we believe that the Endurance will have among the fewest moving parts of any highway-capable production vehicle ever produced. We believe this design will deliver the performance, range and safety commercial fleets seek, while meaningfully reducing total cost of ownership compared to internal combustion engine vehicles due to lower operating and maintenance costs.</w:t>
      </w:r>
    </w:p>
    <w:p>
      <w:pPr>
        <w:spacing w:after="0" w:line="166" w:lineRule="exact"/>
        <w:rPr>
          <w:rFonts w:ascii="Arial" w:cs="Arial" w:eastAsia="Arial" w:hAnsi="Arial"/>
          <w:sz w:val="16"/>
          <w:szCs w:val="16"/>
          <w:color w:val="auto"/>
        </w:rPr>
      </w:pPr>
    </w:p>
    <w:p>
      <w:pPr>
        <w:ind w:left="680" w:right="20" w:hanging="321"/>
        <w:spacing w:after="0" w:line="269"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Significant opportunity exists in the commercial fleet market. </w:t>
      </w:r>
      <w:r>
        <w:rPr>
          <w:rFonts w:ascii="Arial" w:cs="Arial" w:eastAsia="Arial" w:hAnsi="Arial"/>
          <w:sz w:val="17"/>
          <w:szCs w:val="17"/>
          <w:color w:val="auto"/>
        </w:rPr>
        <w:t>We believe we are one of the only pure play light duty EV</w:t>
      </w:r>
      <w:r>
        <w:rPr>
          <w:rFonts w:ascii="Arial" w:cs="Arial" w:eastAsia="Arial" w:hAnsi="Arial"/>
          <w:sz w:val="17"/>
          <w:szCs w:val="17"/>
          <w:b w:val="1"/>
          <w:bCs w:val="1"/>
          <w:color w:val="auto"/>
        </w:rPr>
        <w:t xml:space="preserve"> </w:t>
      </w:r>
      <w:r>
        <w:rPr>
          <w:rFonts w:ascii="Arial" w:cs="Arial" w:eastAsia="Arial" w:hAnsi="Arial"/>
          <w:sz w:val="17"/>
          <w:szCs w:val="17"/>
          <w:color w:val="auto"/>
        </w:rPr>
        <w:t>OEMs focused solely on commercial fleets. We believe there is significant demand in the commercial segment for EVs that will remain unmet for several years. Beginning with the Endurance, we believe designing vehicles with the functionality and particular needs of this market in mind, we will build strong customer relationships with fleet operators and companies that rent or lease vehicles to fleet operators to accelerate EV penetration. We believe that fleet operators will be drawn to the lower total cost of ownership of electric vehicles as opposed to the higher initial purchase price, which has been a factor limiting the pace of adoption of electric vehicles. We also believe that fleet usage, which in many cases may involve multiple shorter trips within range of a central base, rather than long-distance travel, can reduce the range anxiety that has also been a limiting factor in electric vehicle adoption. As a result, we expect strong demand for safe, reliable electric vehicles with a significantly reduced total cost of ownership and believe the Endurance and future programs will provide the opportunity for us to capture meaningful share in this market.</w:t>
      </w:r>
    </w:p>
    <w:p>
      <w:pPr>
        <w:spacing w:after="0" w:line="181" w:lineRule="exact"/>
        <w:rPr>
          <w:rFonts w:ascii="Arial" w:cs="Arial" w:eastAsia="Arial" w:hAnsi="Arial"/>
          <w:sz w:val="17"/>
          <w:szCs w:val="17"/>
          <w:color w:val="auto"/>
        </w:rPr>
      </w:pPr>
    </w:p>
    <w:p>
      <w:pPr>
        <w:ind w:left="680" w:right="20" w:hanging="321"/>
        <w:spacing w:after="0" w:line="287"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Proven team with deep experience in vehicle development and engineering and operations. </w:t>
      </w:r>
      <w:r>
        <w:rPr>
          <w:rFonts w:ascii="Arial" w:cs="Arial" w:eastAsia="Arial" w:hAnsi="Arial"/>
          <w:sz w:val="16"/>
          <w:szCs w:val="16"/>
          <w:color w:val="auto"/>
        </w:rPr>
        <w:t>Our senior executive team has</w:t>
      </w:r>
      <w:r>
        <w:rPr>
          <w:rFonts w:ascii="Arial" w:cs="Arial" w:eastAsia="Arial" w:hAnsi="Arial"/>
          <w:sz w:val="16"/>
          <w:szCs w:val="16"/>
          <w:b w:val="1"/>
          <w:bCs w:val="1"/>
          <w:color w:val="auto"/>
        </w:rPr>
        <w:t xml:space="preserve"> </w:t>
      </w:r>
      <w:r>
        <w:rPr>
          <w:rFonts w:ascii="Arial" w:cs="Arial" w:eastAsia="Arial" w:hAnsi="Arial"/>
          <w:sz w:val="16"/>
          <w:szCs w:val="16"/>
          <w:color w:val="auto"/>
        </w:rPr>
        <w:t>extensive and diverse experience in the automotive and electric vehicle industries. During 2021, we added several highly accomplished executives to our team, including our Chief Executive Officer, President, Chief Financial Officer, Chief Commercial Officer, General Counsel and Senior Vice President of Operations, along with other key personnel throughout the organization. Our leaders are industry veterans, having executed strategic transformations and successfully designed, developed and launched numerous new vehicle programs at multiple OEMs and tier 1 suppliers. For example, our Chief Executive Officer has previously served as a chief executive officer at a leading investment firm, and chief executive officer, senior executive or board member at multiple automotive companies. Our President has over 30 years of experience serving in product development, engineering, manufacturing, commercial, and senior executive roles between Ford, BMW, and GM. He led GM’s $15 billion global crossovers business as the Executive Chief Engineer and Vehicle Line Executive. Our Senior Vice President, Operations has over 25 years of experience in the automotive industry, including serving as Vehicle Launch Leader at Ford. Our VP of Engineering has over 30 years’ experience in product development at multiple OEMs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right="680"/>
        <w:spacing w:after="0" w:line="308" w:lineRule="auto"/>
        <w:rPr>
          <w:sz w:val="20"/>
          <w:szCs w:val="20"/>
          <w:color w:val="auto"/>
        </w:rPr>
      </w:pPr>
      <w:r>
        <w:rPr>
          <w:rFonts w:ascii="Arial" w:cs="Arial" w:eastAsia="Arial" w:hAnsi="Arial"/>
          <w:sz w:val="17"/>
          <w:szCs w:val="17"/>
          <w:color w:val="auto"/>
        </w:rPr>
        <w:t>suppliers, including GM and Delphi. Our team possesses a deliberate, calculated vision to design, develop and produce commercial electric vehicle platforms and to lead us towards commercial production and sales growth.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Foxconn Transactions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As disclosed in our Current Report on Form 8-K filed on November 10, 2021, we entered into the Asset Purchase Agreement with Foxconn Ohio. Pursuant to the APA, Foxconn Ohio would purchase the Lordstown facility for $230 million plus a reimbursement payment for certain operating and expansion costs incurred by us during from September 1, 2021 through the closing. We would continue to own our hub motor assembly line, battery module and pack line assets, certain intellectual property rights and other excluded assets. Foxconn Ohio paid us $100 million on November 18, 2021 and $50 million on January 28, 2022 as down payments of the purchase price. Foxconn Ohio is required to make an additional down payment of $50 million no later than April 15, 2022, subject to certain conditions. The balance of the purchase price, along with reimbursement of certain operating and expansion costs would be paid at closing. 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w:t>
      </w:r>
    </w:p>
    <w:p>
      <w:pPr>
        <w:spacing w:after="0" w:line="18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closing of the transactions contemplated by the Asset Purchase Agreement are subject to certain conditions, including, but not limited to: (a) the parties entering into the Contract Manufacturing Agreement and the Lordstown Facility Lease and (b) receipt of a communication that the CFIUS has concluded that the transaction is not a “covered transaction” or that CFIUS has completed its review of the transaction and determined there are no national security concerns with the transaction. We are also required to maintain minimum cash balances of $50 million through March 1, 2022 and $30 million thereafter.</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and Foxconn have made significant progress negotiating the Contract Manufacturing Agreement and Lordstown Facility Lease, as well as supporting the review of the Foxconn Transactions by CFIUS. The parties have mutually agreed they no longer believe an operating agreement pursuant to which Lordstown would provide support to Foxconn, between signing and closing of the APA, for non-Endurance-specific investments was necessary.</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APA includes a commitment by Foxconn and the Company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The APA also includes a commitment by Foxconn and the Company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In the place of a joint venture and licensing agreement, the parties agreed to explore a joint product development agreement. We are actively discussing the establishment of such an agreement with Foxconn, under which we would seek to use the MIH platform to develop a portfolio of electric vehicles targeting our commercial fleet customers, built at the Lordstown, Ohio plant and to license to Foxconn certain of our intellectual property. If an agreement is reached,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7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launch commercial production of the Endurance and to raise the additional capital necessary to continue to invest in the Endurance, including in tooling and design enhancements, as well as fund new vehicle development. We continue to explore all financing alternatives as we will need substantial funding to execute our operating plan that is anticipated to use significant capital for the foreseeable future.</w:t>
      </w:r>
    </w:p>
    <w:p>
      <w:pPr>
        <w:spacing w:after="0" w:line="188"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No assurance can be made that the transactions contemplated by the Asset Purchase Agreement, including the Contract Manufacturing Agreement and the Lordstown Facility Lease, or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 See “</w:t>
      </w:r>
      <w:r>
        <w:rPr>
          <w:rFonts w:ascii="Arial" w:cs="Arial" w:eastAsia="Arial" w:hAnsi="Arial"/>
          <w:sz w:val="16"/>
          <w:szCs w:val="16"/>
          <w:i w:val="1"/>
          <w:iCs w:val="1"/>
          <w:color w:val="auto"/>
        </w:rPr>
        <w:t>Business — Foxconn Transactions</w:t>
      </w:r>
      <w:r>
        <w:rPr>
          <w:rFonts w:ascii="Arial" w:cs="Arial" w:eastAsia="Arial" w:hAnsi="Arial"/>
          <w:sz w:val="16"/>
          <w:szCs w:val="16"/>
          <w:color w:val="auto"/>
        </w:rPr>
        <w:t>” and “</w:t>
      </w:r>
      <w:r>
        <w:rPr>
          <w:rFonts w:ascii="Arial" w:cs="Arial" w:eastAsia="Arial" w:hAnsi="Arial"/>
          <w:sz w:val="16"/>
          <w:szCs w:val="16"/>
          <w:i w:val="1"/>
          <w:iCs w:val="1"/>
          <w:color w:val="auto"/>
        </w:rPr>
        <w:t>Risk Factors</w:t>
      </w:r>
      <w:r>
        <w:rPr>
          <w:rFonts w:ascii="Arial" w:cs="Arial" w:eastAsia="Arial" w:hAnsi="Arial"/>
          <w:sz w:val="16"/>
          <w:szCs w:val="16"/>
          <w:color w:val="auto"/>
        </w:rPr>
        <w:t>” for further discussion of the risks associated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the Foxconn Transactions and other related agreements being contemplated, including a joint product development agreement, and our need to raise additional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Electric vehicle industry growth has accelerated in the past several years. According to EV Volumes.com, global sales of electric vehicles within the light vehicle segment grew 108% in 2021 and reached 6.75 million units, comprising 8.3% of all light vehicles sold annually. We believe this growth will continue into the future as increased offerings, technological developments, reduced costs, and additional charging infrastructure are expected to drive broader adoption. We expect countries around the world to become increasingly focused on meeting climate goals, in part, by reducing the environmental effects of internal combustion engine vehicles. This may include offering financial incentives to promote the use of electric vehicles and commitments from major automotive manufacturers to electrification as part of their long-term plans.</w:t>
      </w:r>
    </w:p>
    <w:p>
      <w:pPr>
        <w:spacing w:after="0" w:line="1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primary target market is the commercial fleet segment, which is defined as commercial and governmental organizations with three or more vehicles. This market is represented by companies such as logistics companies, construction, building trade and other service providers, utilities, airlines and airport operators, telecommunication companies and insurance companies, as well as small- to mid-sized companies with fewer than 10 vehicles in their fleets. Commercial fleets purchase vehicles either directly from OEMs or indirectly through fleet management companies, dealers or other intermediaries. Government entities at the federal, state and local level represent a significant share of the fleet market that we believe will participate in the transition to electric vehicles and represent potential customers.</w:t>
      </w:r>
    </w:p>
    <w:p>
      <w:pPr>
        <w:spacing w:after="0" w:line="19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commercial fleet market is a large potential market with strong demand for vehicles. We believe that there is significant opportunity to gain a share of this market by offering electric vehicles. We anticipate substantial commercial demand for electric trucks will be driven by the potential for lower total cost of ownership in comparison to traditional gasoline and diesel internal combustion engine vehicles. We also believe that a meaningful portion of industry demand will come from large well-capitalized fleet operators with commitments to reduce their carbon footprint. The specific use cases for electric trucks by fleet operators which, often involve multiple shorter trips, can alleviate the range anxiety that has been a limiting factor in electric vehicle adoption to date. By effectively marketing to commercial fleet operators, we believe we have the potential to secure significant and recurring purchases for our electric vehicles.</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Although competition within the broader electric vehicle and pickup market is intense, we believe that our focus on fleet customers will differentiate our vehicle offerings. While established OEMs and new entrants to the industry have announced plans to develop electric pickup trucks, we believe the total industry volume will remain well below expected demand during the foreseeable future. Furthermore, with relatively low production volume of EV pickup trucks anticipated to be sold during the next several years, we believe the fleet market will represent the smallest share of sales as the larger OEMs seek to sell to a segment of the EV pickup truck market that is conducive to higher price points. We are focusing on the specific needs of commercial fleets with the development and production of the Endurance and future vehicles. In addition, we believe a relationship with Foxconn and achieving a joint product development agreement for future vehicles off the MIH platform would provide the opportunity to accelerate the pace and reduce the cost of new vehicle development. We estimate approximately 500,000 pickup trucks are sold annually to fleet segments in the U.S. and Canada. EV pickup trucks can serve the needs of most of these fleet segments and are believed to generate significant savings in operating costs. In addition, EV pickup trucks are expected to help fleets reduce total cost of ownership, increase employee satisfaction, and achieve environmental sustainability goals. See “Risk Factors” for further discussion of the risks associated with the Foxconn Transactions and other related agreements being contemplated, including a joint product development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Endurance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color w:val="auto"/>
        </w:rPr>
        <w:t>Our flagship vehicle is the Endurance. The design of the Endurance body will follow the same design principles that have made pickup trucks ideal for the fleet market, while its chassis will be designed for safety, capability, efficiency and flexibility. The Endurance’s bed box is designed to be fully compatible with existing third-party parts, upfitting options and accessories. Our use of in-wheel hub motors together with the Endurance’s proprietary software, is expected to lead to better traction, maneuverability and handling, making it an ideal vehicle for fleet operators. With this design, we believe that the Endurance will have among the fewest moving parts of any highway- capable production vehicle ever produced and will have a total cost of ownership that is lower than comparable pickup trucks that are currently commercially available. Based on our current estimated specifications, we expect the Endurance will achieve a 0-60 miles per hour acceleration time of 5.5 seconds, a towing capacity of 8,000 pounds, a payload capacity of 1,200 pounds, a curb weight of 6,300 pounds, a total gross vehicle weight of 7,500 pounds, produce 550 horsepower and 4,800 pound feet of torque at the wheels. Based upon ongoing vehicle testing and engineering, management estimates the Endurance will deliver a targeted range of 200 miles per charge and fuel economy of 65 mile per gallon equivalent (“MPGe”), approximately 300% better than competing internal combustion engine pickups that average approximately 15 miles per gallon.</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Actual vehicle performance and specifications, including range and MPGe, will vary significantly based on numerous factors, including driving conditions and final vehicle design attributes. See “</w:t>
      </w:r>
      <w:r>
        <w:rPr>
          <w:rFonts w:ascii="Arial" w:cs="Arial" w:eastAsia="Arial" w:hAnsi="Arial"/>
          <w:sz w:val="17"/>
          <w:szCs w:val="17"/>
          <w:i w:val="1"/>
          <w:iCs w:val="1"/>
          <w:color w:val="auto"/>
        </w:rPr>
        <w:t>Risk Factors</w:t>
      </w:r>
      <w:r>
        <w:rPr>
          <w:rFonts w:ascii="Arial" w:cs="Arial" w:eastAsia="Arial" w:hAnsi="Arial"/>
          <w:sz w:val="17"/>
          <w:szCs w:val="17"/>
          <w:color w:val="auto"/>
        </w:rPr>
        <w:t>” for further discussion of the risks associated with the expected performance of the Endurance.</w:t>
      </w:r>
    </w:p>
    <w:p>
      <w:pPr>
        <w:spacing w:after="0" w:line="192" w:lineRule="exact"/>
        <w:rPr>
          <w:sz w:val="20"/>
          <w:szCs w:val="20"/>
          <w:color w:val="auto"/>
        </w:rPr>
      </w:pPr>
    </w:p>
    <w:p>
      <w:pPr>
        <w:jc w:val="both"/>
        <w:ind w:right="680" w:firstLine="324"/>
        <w:spacing w:after="0" w:line="311" w:lineRule="auto"/>
        <w:rPr>
          <w:sz w:val="20"/>
          <w:szCs w:val="20"/>
          <w:color w:val="auto"/>
        </w:rPr>
      </w:pPr>
      <w:r>
        <w:rPr>
          <w:rFonts w:ascii="Arial" w:cs="Arial" w:eastAsia="Arial" w:hAnsi="Arial"/>
          <w:sz w:val="16"/>
          <w:szCs w:val="16"/>
          <w:color w:val="auto"/>
        </w:rPr>
        <w:t>We are in the process of establishing pricing for the Endurance upon launch, which we expect to be approximately $63,500 including our standard option package but excluding the currently available U.S. federal tax credit of $7,500 for the purchase of alternative fuel vehicles. We believe our option package consists of popular equipment sought by commercial fleet customers.</w:t>
      </w:r>
    </w:p>
    <w:p>
      <w:pPr>
        <w:spacing w:after="0" w:line="14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Many fleet customers consider the total cost of ownership of a vehicle to be more important than the initial purchase price of a vehicle. We believe the capabilities of electric vehicles generally, and in particular the low number of parts that will be included in the Endurance, will lead to lower maintenance costs when compared to internal combustion engine vehicles. The need for routine maintenance is significantly reduced along with the elimination of the need to service or replace parts and materials for internal combustion engines, such as spark plugs, oil, oil filters, and transmission fluid. In addition, the Endurance’s brake pads and rotors are expected to last longer than those in internal combustion engine pickup trucks due to regenerative braking from the hub motors on all four wheels, representing another maintenance cost saving. As a result, over a five-year period, we anticipate that the average total cost of ownership of the Endurance is likely to be less than the average total cost of ownership of a comparable internal combustion engine pickup truck.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In-Wheel Hub Motors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Endurance will have four electric in-wheel hub motors. We have entered into supply and licensing agreements with Elaphe to produce the initial batch of required hub motors. However, we have developed our own manufacturing line for the in-wheel hub motors and intend to manufacture the in-wheel hub motors at the Lordstown facility in the future. We anticipate that as part of our Contract Manufacturing Agreement with Foxconn, Foxconn would operate these hub motor production assets on our behalf. We believe the hub motors will provide efficiency, reliability and design flexibility and offer several advantages over traditional internal combustion engines. For example, in-wheel hub motors place the entire propulsion system within the wheels, providing a significant amount of design flexibility for the remainder of the vehicle.</w:t>
      </w:r>
    </w:p>
    <w:p>
      <w:pPr>
        <w:spacing w:after="0" w:line="19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In-wheel hub motors contribute to the superior handling and maneuverability of the Endurance. They also eliminate the need for many parts found in both traditional and hybrid vehicles, including a drivetrain, gears, axles, differentials, universal joints, transmissions, oil, oil filters, spark plugs and engine valves, which will reduce the number of moving parts in the Endurance compared to other traditional, hybrid and electric vehicles available today and, therefore, expected maintenance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186055</wp:posOffset>
            </wp:positionV>
            <wp:extent cx="1568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67" w:lineRule="exact"/>
        <w:rPr>
          <w:sz w:val="20"/>
          <w:szCs w:val="20"/>
          <w:color w:val="auto"/>
        </w:rPr>
      </w:pPr>
    </w:p>
    <w:p>
      <w:pPr>
        <w:ind w:right="120" w:firstLine="8"/>
        <w:spacing w:after="0" w:line="219" w:lineRule="auto"/>
        <w:tabs>
          <w:tab w:leader="none" w:pos="112" w:val="left"/>
        </w:tabs>
        <w:numPr>
          <w:ilvl w:val="0"/>
          <w:numId w:val="18"/>
        </w:numPr>
        <w:rPr>
          <w:rFonts w:ascii="Arial" w:cs="Arial" w:eastAsia="Arial" w:hAnsi="Arial"/>
          <w:sz w:val="27"/>
          <w:szCs w:val="27"/>
          <w:b w:val="1"/>
          <w:bCs w:val="1"/>
          <w:color w:val="231F20"/>
          <w:vertAlign w:val="superscript"/>
        </w:rPr>
      </w:pPr>
      <w:r>
        <w:rPr>
          <w:rFonts w:ascii="Arial" w:cs="Arial" w:eastAsia="Arial" w:hAnsi="Arial"/>
          <w:sz w:val="18"/>
          <w:szCs w:val="18"/>
          <w:color w:val="auto"/>
        </w:rPr>
        <w:t>Management estimates the Endurance will utilize 0.50 kilowatt-hour (“kWh”) per mile. This would be equivalent to approximately 65 MPGe based on the estimated energy equivalence of one gallon of gasoline at 33.7 kWh of electricity, per the U.S. Environmental Protection Agency’s (the “EPA”) MPGe methodology.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hub motor and inverter pair are controlled by a central supervisory powertrain controller (“VCU”) that will manage traction, slip and efficiency on an axial basis, which we expect to provide favorable four-wheel drive traction when compared to other pickup trucks currently available to commercial fleets. Lordstown Motors has developed its own proprietary powertrain controller software and algorithms to achieve this performance using instantaneous torque control. The use of in-wheel hub motors and the absence of a traditional internal combustion engine create a large front crush zone, enhancing the safety of the vehicle and enabling the Endurance to have a “frunk” (a small trunk located at the front of the cab).</w:t>
      </w:r>
    </w:p>
    <w:p>
      <w:pPr>
        <w:spacing w:after="0" w:line="1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motors will be equipped with regenerative braking that captures and stores power generated by deceleration of the vehicle. Many of the systems that will enable the use of in-wheel hub motors, such as the software that will interact and direct each of the four motors, as well as the independent front suspension, are proprietary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Lordstown facility is a 640-acre manufacturing facility that we acquired on November 7, 2019 strategically located in Lordstown, Ohio, near I-80, the major interstate highway between Cleveland, Ohio, and Pittsburgh, Pennsylvania. Lordstown, Ohio, and the surrounding area is home to a highly trained workforce experienced with working in the Lordstown facility and manufacturing vehicles as well as an extensive automotive supply base. See “</w:t>
      </w:r>
      <w:r>
        <w:rPr>
          <w:rFonts w:ascii="Arial" w:cs="Arial" w:eastAsia="Arial" w:hAnsi="Arial"/>
          <w:sz w:val="17"/>
          <w:szCs w:val="17"/>
          <w:i w:val="1"/>
          <w:iCs w:val="1"/>
          <w:color w:val="auto"/>
        </w:rPr>
        <w:t>Key Agreements, Other Alliances and Technology</w:t>
      </w:r>
      <w:r>
        <w:rPr>
          <w:rFonts w:ascii="Arial" w:cs="Arial" w:eastAsia="Arial" w:hAnsi="Arial"/>
          <w:sz w:val="17"/>
          <w:szCs w:val="17"/>
          <w:color w:val="auto"/>
        </w:rPr>
        <w:t>” and “</w:t>
      </w:r>
      <w:r>
        <w:rPr>
          <w:rFonts w:ascii="Arial" w:cs="Arial" w:eastAsia="Arial" w:hAnsi="Arial"/>
          <w:sz w:val="17"/>
          <w:szCs w:val="17"/>
          <w:i w:val="1"/>
          <w:iCs w:val="1"/>
          <w:color w:val="auto"/>
        </w:rPr>
        <w:t>Environmental</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w:t>
      </w:r>
      <w:r>
        <w:rPr>
          <w:rFonts w:ascii="Arial" w:cs="Arial" w:eastAsia="Arial" w:hAnsi="Arial"/>
          <w:sz w:val="17"/>
          <w:szCs w:val="17"/>
          <w:color w:val="auto"/>
        </w:rPr>
        <w:t>” for additional information about the acquisition and related agreements.</w:t>
      </w:r>
    </w:p>
    <w:p>
      <w:pPr>
        <w:spacing w:after="0" w:line="1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Lordstown facility consists of four main facilities in one location, in addition to multiple support buildings: (1) General Assembly, (2) a Body Shop, (3) Stamping and (4) a Paint Shop. The Lordstown facility has approximately 6.2 million square feet of manufacturing space and significant production capacity that we believe will be more than sufficient to support our targeted ramp up of production of the Endurance over the next several years. We also have solar-panels on-site, which generate approximately 2.2 megawatts of energy. The Lordstown facility is in near-production-ready condition with modern robotics, painting, assembly and stamping equipment and we continue to make tooling investments in order to commence full production of the Endurance.</w:t>
      </w:r>
    </w:p>
    <w:p>
      <w:pPr>
        <w:spacing w:after="0" w:line="17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working towards completing construction on our production lines for in-wheel motors and initial lithium-ion battery packs. As part of our retooling efforts, we purchased and installed new machines, tooling, fixtures and quality and testing equipment, made additional investments in software, controls and other information technology systems, modified conveyor and robotics systems, converted the existing paint line process and installed new hub motor and battery pack assembly lines. After the Foxconn Transactions, we would continue to own certain assets in the facility, principally the hub motor and battery pack lines and tooling specific for the Endurance. However, we anticipate Foxconn would operate the equipment under the Contract Manufacturing Agreement.</w:t>
      </w:r>
    </w:p>
    <w:p>
      <w:pPr>
        <w:spacing w:after="0" w:line="16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expect to complete the retooling that is necessary to enable limited production of the Endurance to commence as planned in the third quarter of 2022, subject to raising sufficient capital to launch the program, satisfactory completion of the Foxconn Transactions, vehicle testing and validation, and receipt of both the required regulatory approvals to sell the Endurance. Following the completion of the Foxconn Transactions, we would continue to be responsible for capital investments for certain tooling and other equipment specifically related to production of the Endurance. Foxconn would own and be responsible for maintaining and investing in general manufacturing and assembly assets, excluding the battery and hub motor lines that would be operated by Foxconn, but owned and maintained by us.</w:t>
      </w:r>
    </w:p>
    <w:p>
      <w:pPr>
        <w:spacing w:after="0" w:line="19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This facility includes space for engineering, product development, vehicle inspection and benchmarking, as well as labs for testing, validation and prototyping. This facility also houses our purchasing group as well as certain other corporate functions and will remain with the Company following the completion of the Foxconn Transactions.</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Agreements, Other Alliances and Technology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GM</w:t>
      </w:r>
    </w:p>
    <w:p>
      <w:pPr>
        <w:spacing w:after="0" w:line="229"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We have entered into several agreements with GM and its affiliates related to the acquisition and operation of the Lordstown facility and to provide financing arrangements. On November 7, 2019, we entered into an Asset Transfer Agreement, Operating Agreement and Mortgage Agreement (collectively, the “GM Property Agreements”) with GM providing for our acquisition and the continued operation of the Lordstown facility. See “—</w:t>
      </w:r>
      <w:r>
        <w:rPr>
          <w:rFonts w:ascii="Arial" w:cs="Arial" w:eastAsia="Arial" w:hAnsi="Arial"/>
          <w:sz w:val="17"/>
          <w:szCs w:val="17"/>
          <w:i w:val="1"/>
          <w:iCs w:val="1"/>
          <w:color w:val="auto"/>
        </w:rPr>
        <w:t>Environmental Regulations</w:t>
      </w:r>
      <w:r>
        <w:rPr>
          <w:rFonts w:ascii="Arial" w:cs="Arial" w:eastAsia="Arial" w:hAnsi="Arial"/>
          <w:sz w:val="17"/>
          <w:szCs w:val="17"/>
          <w:color w:val="auto"/>
        </w:rPr>
        <w:t>” for additional information.</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April 3, 2020, we entered into an agreement under which GM provides us with access to certain non-brand defining GM parts, including airbags, steering columns and steering wheels. This agreement was renewed for a term commencing on January 1, 2021 and ending December 31, 2023. On December 21, 2021, we entered into a further five year-term supply agreement which required a pre-payment of $17.8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Elaphe Propulsion Technologies Ltd.</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partnered with Elaphe to produce in-wheel hub motors. We entered into a license agreement with Elaphe, pursuant to which Elaphe granted us a perpetual license to manufacture, or have manufactured, the Elaphe Model L-1500 Endurance Motor, including enhanced or replacement versions of this motor, for use in the United States, Canada and Mexico in exchange for a license fee calculated on a per motor basis. We have substantially enhanced Elaphe’s Model L-1500 Endurance Motor and currently are using these enhanced motors in our vehicles. Elaphe is required to obtain our consent before it is permitted, within the United States, Canada or Mexico, to market, sell or otherwise distribute the Elaphe Model L-1500 Endurance Motor, or any replacement or substitute for it, including our enhanced version of the motor, or any hub motor, or replacement or substitute for it, for a substitute model pickup truck replacing the Endurance (the “Licensed Products”). In addition, Elaphe must immediately notify us if it sells, licenses or distributes the Licensed Products through a third party within the United States, Canada or Mexico and must offer to sell or license to us on the same terms available to such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July 23, 2021, we entered into the Equity Purchase Agreement with YA, pursuant to which YA has committed to purchase up to $400 million in shares of our Class A common stock, subject to certain limitations and conditions set forth in the Equity Purchase Agreement. The actual amount that we can raise under this facility will depend on market conditions as well as limitations in the agreement. In particular, at current market prices of our shares of Class A common stock, without stockholder approval, we cannot issue or sell to YA shares of our Class A common stock in excess of the Exchange Cap, which would limit the amount of funds we are able to raise to significantly less than the $400 million commitment under the Equity Purchase Agreement. As of March 1, 2022, including the 371,287 Commitment Shares, we have issued a total of 9,592,200 shares to YA for approximately $49.4 million, net of equity issuance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Partners</w:t>
      </w:r>
    </w:p>
    <w:p>
      <w:pPr>
        <w:spacing w:after="0" w:line="229"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As production of the Endurance ramps up, we may partner with key service providers to enable us to serve fleet operators and other customers efficiently and effectively for aftermarket parts and service and charging infrastructure.</w:t>
      </w:r>
    </w:p>
    <w:p>
      <w:pPr>
        <w:spacing w:after="0" w:line="17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believe that most fleet operators use service agreements with third-party service providers to maintain and repair their fleets and to provide aftermarket parts, and that an arrangement with a national service provider might be attractive to fleet customers considering purchasing the Endurance.</w:t>
      </w:r>
    </w:p>
    <w:p>
      <w:pPr>
        <w:spacing w:after="0" w:line="184"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To support our fleet customers, we have signed a Memorandum of Understanding with Cox Automotive to provide service and support to all Lordstown Motors EV fleet customers. Cox Automotive has a network of more than 6,000 service centers, 3,000 partner locations and 800 mobile technicians nationwide. Subject to negotiation and execution of a definitive agreement, the Cox team would deliver a full suite of service solutions including preventative scheduled maintenance, vehicle pickup and delivery, battery servicing, vehicle and collision repairs and roadside assistance. Coupled with our advanced connected vehicle technology and over-the-air update capabilities, this relationship is expected to position us to meet our customer needs after they take delivery of our vehicles.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made and, subject to raising sufficient capital, expect to continue to make significant investments in research and development in order to complete the design, engineering, testing and certification of the Endurance to commence commercial production and sales. These costs will primarily relate to testing, validation, design modifications, integration of third-party components, designs for tooling, development of our own components, proprietary software and systems. Our research and development also includes efforts to seek to leverage our technologies to develop additional all-electric vehicles targeted for the commercial EV market. We expect that these activities will be completed by our employees and intend to hire additional research and development personnel. However, we have utilized third party design and engineering firms for certain development activities to date and will continue to do so as we continue to ramp up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Endurance’s bill of materials is expected to consist of approximately 2,300 components with its 10 most expensive systems representing almost 75% of the anticipated cost of the Endurance. As discussed above, we have an agreement with Elaphe to license in-wheel hub motors, and we have entered into agreements with a battery manufacturer to purchase lithium-ion cylindrical battery cells. Motors and battery cells represent two of the Endurance’s most critical components. We also expect that the flexible and compatible design of the Endurance and our agreements with GM that provide access to certain non-brand defining GM parts will offer certain transitional benefits as we build out and finalize our supply chain. Other key raw materials that will be included in the Endurance and its components are steel, aluminum, copper, neodymium, nickel and cobalt.</w:t>
      </w:r>
    </w:p>
    <w:p>
      <w:pPr>
        <w:spacing w:after="0" w:line="177"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Subject to receiving sufficient funding, we believe we will be able to obtain adequate sources of supply for the equipment, components and raw materials necessary to manufacture and sell the Endurance in accordance with our plans. Disruptions to the supply chain, including those due to the COVID-19 pandemic, have resulted in challenges obtaining certain components and raw materials in a timely manner and/or at favorable pricing. As a result, we have adjusted and may continue to adjust our design, materials, components, production processes and production timeline to adapt to these limitations. Further changes in our timeline, capital resources, business conditions, the impact of COVID-19 or other pandemics, governmental changes and other factors beyond our control or that we do not presently anticipate, could affect our ability to receive the material we need for production. As we and the broader electric vehicle industry grow in the future, there is no guarantee that battery cell manufacturers will be able and willing to continue to increase their capacity to meet demand. In addition, the automotive and other industries are currently experiencing a global supply shortage of semiconductors, which could impact our testing and production costs, and volume and timeline of production. Prices and supply of key raw materials have risen, in many cases significantly, and there continue to be supply shortages of certain materials and components. As a result of the foregoing and limited initial production volume, our current cost of our bill of materials is substantially higher than the anticipated selling price of the Endurance at launch. There can be no assurance that we will be able to reduce the cost of our bill of materials below our anticipated selling price for the Endurance. Increased demand for certain materials, whether due to electric vehicle growth or other factors, or reduced supply for certain materials, whether due to trade restrictions or other factors, may further increase our costs or delay the timing to obtain the materials or components and impact our production timeline, profitability and cash flows. See “</w:t>
      </w:r>
      <w:r>
        <w:rPr>
          <w:rFonts w:ascii="Arial" w:cs="Arial" w:eastAsia="Arial" w:hAnsi="Arial"/>
          <w:sz w:val="16"/>
          <w:szCs w:val="16"/>
          <w:i w:val="1"/>
          <w:iCs w:val="1"/>
          <w:color w:val="auto"/>
        </w:rPr>
        <w:t>Risk Factors</w:t>
      </w:r>
      <w:r>
        <w:rPr>
          <w:rFonts w:ascii="Arial" w:cs="Arial" w:eastAsia="Arial" w:hAnsi="Arial"/>
          <w:sz w:val="16"/>
          <w:szCs w:val="16"/>
          <w:color w:val="auto"/>
        </w:rPr>
        <w:t>” for additional information regarding sourcing.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620" w:firstLine="324"/>
        <w:spacing w:after="0" w:line="311" w:lineRule="auto"/>
        <w:rPr>
          <w:sz w:val="20"/>
          <w:szCs w:val="20"/>
          <w:color w:val="auto"/>
        </w:rPr>
      </w:pPr>
      <w:r>
        <w:rPr>
          <w:rFonts w:ascii="Arial" w:cs="Arial" w:eastAsia="Arial" w:hAnsi="Arial"/>
          <w:sz w:val="16"/>
          <w:szCs w:val="16"/>
          <w:color w:val="auto"/>
        </w:rPr>
        <w:t>Intellectual property is important to our business. We intend to establish and protect the intellectual property and proprietary technology that we develop through a combination of trademarks, patents, trade secrets and know-how. We have filed numerous trademark and patent applications with the USPTO, but as of this date no trademarks or patents have been issued.</w:t>
      </w:r>
    </w:p>
    <w:p>
      <w:pPr>
        <w:spacing w:after="0" w:line="14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expect to develop additional intellectual property and proprietary technology as the Endurance’s engineering and validation activities proceed and we expand into developing other vehicles.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 In addition to the intellectual property that we own, we license and utilize key technologies under our agreements with Elaphe. See “</w:t>
      </w:r>
      <w:r>
        <w:rPr>
          <w:rFonts w:ascii="Arial" w:cs="Arial" w:eastAsia="Arial" w:hAnsi="Arial"/>
          <w:sz w:val="17"/>
          <w:szCs w:val="17"/>
          <w:i w:val="1"/>
          <w:iCs w:val="1"/>
          <w:color w:val="auto"/>
        </w:rPr>
        <w:t>Business — Key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Other Alliances and Technology</w:t>
      </w:r>
      <w:r>
        <w:rPr>
          <w:rFonts w:ascii="Arial" w:cs="Arial" w:eastAsia="Arial" w:hAnsi="Arial"/>
          <w:sz w:val="17"/>
          <w:szCs w:val="17"/>
          <w:color w:val="auto"/>
        </w:rPr>
        <w:t>” for more information.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cannot be certain that we will be able to adequately develop and protect our intellectual property rights, or that other companies will not claim that we are infringing upon their intellectual property rights. We may also use open-source code and other non-proprietary technology that would not be protected from use by our competitors. See “</w:t>
      </w:r>
      <w:r>
        <w:rPr>
          <w:rFonts w:ascii="Arial" w:cs="Arial" w:eastAsia="Arial" w:hAnsi="Arial"/>
          <w:sz w:val="18"/>
          <w:szCs w:val="18"/>
          <w:i w:val="1"/>
          <w:iCs w:val="1"/>
          <w:color w:val="auto"/>
        </w:rPr>
        <w:t>Risk Factors</w:t>
      </w:r>
      <w:r>
        <w:rPr>
          <w:rFonts w:ascii="Arial" w:cs="Arial" w:eastAsia="Arial" w:hAnsi="Arial"/>
          <w:sz w:val="18"/>
          <w:szCs w:val="18"/>
          <w:color w:val="auto"/>
        </w:rPr>
        <w:t>” for additional information regarding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an increase in fixed costs.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During 2021, we announced a series of agreements with an affiliate of Holman Enterprises, including a co-marketing agreement that establishes a framework for us and ARI, Holman’s fleet management services organization, to co-market and co-develop business opportunities with our respective customers and an agreement that establishes a framework pursuant to which ARI would use reasonable efforts to facilitate orders from its leasing clients for the Endurance over a three-year time period on the terms set forth in the agreement.</w:t>
      </w:r>
    </w:p>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continued to pursue our strategy of pursuing relationships with specialty upfitting and fleet management companies to incorporate the Endurance into their fleet management programs. We have entered into vehicle purchase agreements with additional fleet management companies as a component of that strategy. These vehicle purchase agreements establish the terms and conditions of potential future vehicle purchases and other cooperation and generally have the following terms:</w:t>
      </w:r>
    </w:p>
    <w:p>
      <w:pPr>
        <w:spacing w:after="0" w:line="171"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 of three to five years;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 to the Company as a preferred supplier;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Order procedures, including certain forecasting, confirming, status, changing and cancelling procedures;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Down payment terms, which are generally 5% down 90 days prior to the requested delivery date;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Invoicing, delivery and payment terms;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customary terms, including warranties, indemnification, intellectual property use and confidentiality terms.</w:t>
      </w:r>
    </w:p>
    <w:p>
      <w:pPr>
        <w:spacing w:after="0" w:line="225"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These vehicle purchase agreements may be terminated by either party at will on 30 days’ notice. They do not commit the counterparties to purchase vehicles, but we believe that they provide us with a significant indicator of demand for the Endurance. Additional agreements signed are with Pride Equipment (Pride EV), Mike Alpert Fleet Solutions, Sherpa Commercial Vehicles, and a small number of purchase agreements from municipalities, demonstrating their interest in procuring the Endurance for their fleets.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of December 31, 2021, we employed approximately, 632 full-time personnel in the Lordstown, Ohio, facility, our research, development and engineering center in Farmington Hills, Michigan and our engineering, vehicle development and service center in Irvine, California. These employees’ skills are in the areas of manufacturing, engineering, marketing, sales, purchasing, facilities, human resources, IT, supply chain, quality, program management, software design, strategy, accounting and finance. These employees are designing and engineering the Endurance and preparing the plant for commercial production. However, if we complete the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Foxconn Transactions, we anticipate substantially all of our manufacturing employees, along with certain other employees, transferring to, and becoming employees of Foxconn.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Support and Regulation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discussion in this section, also see “</w:t>
      </w:r>
      <w:r>
        <w:rPr>
          <w:rFonts w:ascii="Arial" w:cs="Arial" w:eastAsia="Arial" w:hAnsi="Arial"/>
          <w:sz w:val="18"/>
          <w:szCs w:val="18"/>
          <w:i w:val="1"/>
          <w:iCs w:val="1"/>
          <w:color w:val="auto"/>
        </w:rPr>
        <w:t>Risk Factors — Risks Relating to Regulation and Claims.</w:t>
      </w:r>
      <w:r>
        <w:rPr>
          <w:rFonts w:ascii="Arial" w:cs="Arial" w:eastAsia="Arial" w:hAnsi="Arial"/>
          <w:sz w:val="18"/>
          <w:szCs w:val="18"/>
          <w:color w:val="auto"/>
        </w:rPr>
        <w:t>”</w:t>
      </w:r>
    </w:p>
    <w:p>
      <w:pPr>
        <w:spacing w:after="0" w:line="22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Our management expects to continue to engage in discussions with local, state and federal officials to explore the availability of appropriate grant, loan and tax incentives. There are numerous enacted federal programs that we believe will directly or indirectly support the growth of electric vehicles, including among commercial fleet customers. These include the Infrastructure Investment and Jobs Act of 2021 that provided $7.5 billion for a national EV charging network through grants to state and local governments, transit authorities and tribes. The bill also included measures to promote greater electrification of the transportation sector, funding to expand battery processing and manufacturing and a surface transportation block grant program.</w:t>
      </w:r>
    </w:p>
    <w:p>
      <w:pPr>
        <w:spacing w:after="0" w:line="16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have been awarded a grant of up to $2.1 million from the Michigan Economic Development Corporation. The funding is anticipated to be received in multiple installments. We are finalizing the documentation and therefore no assurances can be made as to the timing, terms and conditions or ultimate amount of the funding.</w:t>
      </w:r>
    </w:p>
    <w:p>
      <w:pPr>
        <w:spacing w:after="0" w:line="1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have accepted an invitation from the U.S. Department of Energy and have started the due diligence process toward securing an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this loan will be available to us and, if made available, what the terms, collateral requirements and timing for any funding would be. We have been informed that an ATVM loan would likely be secured by a first priority lien on our assets. In the near term, we do not believe that we would be able to satisfy the conditions to obtain an ATVM loan, including the requirement to demonstrate our viability as a company.</w:t>
      </w:r>
    </w:p>
    <w:p>
      <w:pPr>
        <w:spacing w:after="0" w:line="17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our electric vehicles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 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Vehicle Safety and Testing Regulation</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vehicles will be subject to, and must comply with, many regulations established by the NHTSA, including applicable U.S. federal motor vehicle safety standards (“FMVSS”). As an OEM, we must self-certify that our vehicles meet all applicable FMVSS and, when applicable, the NHTSA bumper standards before a vehicle can be manufactured for sale, offered for sale, introduced into interstate commerce, imported into or sold in the United States. There are many FMVSS that will apply to our vehicles, including crashworthiness and crash avoidance requirements and electric vehicle requirements (e.g., those relating to limitations on electrolyte spillage, battery retention and the avoidance of electric shock after a crash). We expect that our vehicles will meet all applicable FMVSS. Additionally, there are regulatory changes being considered for several FMVSS, and though we expect to comply with such changes, there is no assurance of compliance until the final regulatory changes have been enacted and we are able to evaluate the vehicles’ compliance with those new FMVSS requirements.</w:t>
      </w:r>
    </w:p>
    <w:p>
      <w:pPr>
        <w:spacing w:after="0" w:line="18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addition to FMVSS, we must comply with other NHTSA requirements and other federal laws and regulations administered by NHTSA, including, for example, early warning reporting requirements, Corporate Average Fuel Economy (“CAFE”) reporting, an obligation to conduct recalls of vehicles in the field upon a determination of a safety defect or noncompliance and owner’s manual requirements. We also must comply with the Automobile Information and Disclosure Act, which requires OEMs to disclose certain information regarding the manufacturer’s suggested retail price, optional equipment and other pricing. Further, this law allows inclusion of fuel economy metrics (e.g. range and cost savings), as determined by the U.S. EPA, and crash test ratings, as determined by NHTSA.</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Battery Safety and Testing Regulations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battery packs must conform to mandatory regulations governing the transport of “dangerous goods” that may present a risk in transportation, which items include lithium-ion batteries and are subject to regulations issued by PHMSA. These regulations are based on the UN Recommendations on the Safe Transport of Dangerous Goods — Model Regulations and related UN Manual Tests and Criteria. The regulations vary by the mode of transportation by which these items are shipped (e.g., by ocean vessel, rail, truck or air). There are additional industry standards related to the development and testing of EV batteries, including for example, standards published by the Society of Automotive Engineers (“SAE”), International Organization for Standards (“ISO”) and Underwriters Laboratories (“UL”). The use, handling, storage, disposal and exposure of our battery packs are also subject to many different regulations at the federal, state and local levels.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Credits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In connection with the delivery and placement into service of our zero-emission vehicles (“ZEV”), under the U.S. EPA’s and California’s Greenhouse Gas (“GHG”) rules and standards and the U.S. DOT’s CAFÉ standards for mobile sources, and under California’s ZEV standard, we will earn tradable credits that can be sold to other OEMs. Like the United States, California also has its own GHG emissions standard that seeks to reduce GHGs over time. Other U.S. states, including Colorado, Connecticut, Maine, Maryland, Massachusetts, New Jersey, New York, Oregon, Rhode Island and Vermont, have adopted some or all of California’s standards. We intend to take advantage of these regulatory frameworks by registering and selling GHG, CAFÉ and ZEV credits. In addition, we have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and not otherwise required by us to comply with emissions laws and regulations at a purchase price equal to 75% of the fair market value of such credits. While our plan is for the first three annual production/model years for the purpose of this agreement to be 2023, 2024 and 2025, it is possible that this agreement could extend beyond these model years if we do not achieve ten or more months of production during those annual production/model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 laws, regulations or permits could result in substantial civil and criminal fines and penalties and the suspension or loss of such permits, and possibly orders to cease the non-compliant operations.</w:t>
      </w:r>
    </w:p>
    <w:p>
      <w:pPr>
        <w:spacing w:after="0" w:line="19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U.S. Clean Air Act requires that we obtain a Certificate of Conformity from the U.S. EPA for our vehicles prior to their entry into commerce in all 50 states. In addition, we must obtain an Executive Order from CARB in order to sell vehicles in California and those states that have adopted its standards. The Certificate of Conformity and Executive Order are required for each model year. A failure to apply for and obtain a Certificate of Conformity or Executive Order will result in delays in the sale of the Endurance and adversely affect our business.</w:t>
      </w:r>
    </w:p>
    <w:p>
      <w:pPr>
        <w:spacing w:after="0" w:line="18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As part of our acquisition of the Lordstown facility from GM, we were required to accept the plant and all property in “as is — where is” condition, including environmental responsibilities. Prior to entering into the Asset Transfer Agreement, GM completed an investigation and remediation program pursuant to an AOC under the U.S. EPA’s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facility and has allowed us to develop quickly a thorough understanding of the comprehensive nature of the environmental response actions taken by GM and to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implement steps to ensure ongoing compliance with the environmental covenant on the real property. To further manage potential environmental risk, we have obtained an environmental liability policy providing certain coverages up to the amount of $25.0 million as required under the Asset Transfer Agreement. In addition, to mitigate the risk associated with the Ohio EPA’s authority to require future remediation activities at the Lordstown facility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 Upon closing of the Asset Purchase Agreement, Foxconn will generally assume environmental liabilities arising from the Lordstown facility; however, we will retain an indemnity obligation for certain undisclosed liabilities known by us or caused by us during our period of ownership.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Lordstown Motors Corp., originally known as DiamondPeak Holdings Corp., was incorporated in Delaware on November 13, 2018 as a blank check company for the purpose of effecting a business combination and completed its Initial Public Offering in March 2019. On the Closing Date, DiamondPeak consummated the Business Combination Agreement, by and among DiamondPeak, Merger Sub and Legacy Lordstown, pursuant to which Merger Sub merged with and into Legacy Lordstown, with Legacy Lordstown surviving the merger as a wholly-owned subsidiary of DiamondPeak. On the Closing Date, and in connection with the Closing, DiamondPeak changed its name to Lordstown Motors Corp.</w:t>
      </w:r>
    </w:p>
    <w:p>
      <w:pPr>
        <w:spacing w:after="0" w:line="19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Business Combination has been accounted for as a reverse recapitalization in accordance with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Business Combination Agreement, at the Effective Time:</w:t>
      </w:r>
    </w:p>
    <w:p>
      <w:pPr>
        <w:spacing w:after="0" w:line="225" w:lineRule="exact"/>
        <w:rPr>
          <w:sz w:val="20"/>
          <w:szCs w:val="20"/>
          <w:color w:val="auto"/>
        </w:rPr>
      </w:pPr>
    </w:p>
    <w:p>
      <w:pPr>
        <w:ind w:left="680" w:right="8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share of Legacy Lordstown common stock issued and outstanding at the Effective Time converted into 55.8817 shares of our Class A common stock.</w:t>
      </w:r>
    </w:p>
    <w:p>
      <w:pPr>
        <w:spacing w:after="0" w:line="170" w:lineRule="exact"/>
        <w:rPr>
          <w:rFonts w:ascii="Arial" w:cs="Arial" w:eastAsia="Arial" w:hAnsi="Arial"/>
          <w:sz w:val="18"/>
          <w:szCs w:val="18"/>
          <w:color w:val="auto"/>
        </w:rPr>
      </w:pPr>
    </w:p>
    <w:p>
      <w:pPr>
        <w:ind w:left="680" w:right="340" w:hanging="321"/>
        <w:spacing w:after="0" w:line="308" w:lineRule="auto"/>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outstanding share of Class B common stock, $0.0001 par value, of DiamondPeak converted into one share of Class A common stock, resulting in an issuance of 7 million shares of Class A common stock in the aggregate.</w:t>
      </w:r>
    </w:p>
    <w:p>
      <w:pPr>
        <w:spacing w:after="0" w:line="146" w:lineRule="exact"/>
        <w:rPr>
          <w:rFonts w:ascii="Arial" w:cs="Arial" w:eastAsia="Arial" w:hAnsi="Arial"/>
          <w:sz w:val="17"/>
          <w:szCs w:val="17"/>
          <w:color w:val="auto"/>
        </w:rPr>
      </w:pPr>
    </w:p>
    <w:p>
      <w:pPr>
        <w:jc w:val="both"/>
        <w:ind w:left="680" w:right="100" w:hanging="321"/>
        <w:spacing w:after="0" w:line="311"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convertible promissory note issued by Legacy Lordstown evidencing indebtedness of an aggregate of $40.0 million plus accrued interest automatically converted, in accordance with the terms thereof, into shares of Class A common stock at a price of $10.00 per share, resulting in an issuance of approximately 4 million shares of Class A common stock in the aggregate.</w:t>
      </w:r>
    </w:p>
    <w:p>
      <w:pPr>
        <w:spacing w:after="0" w:line="148" w:lineRule="exact"/>
        <w:rPr>
          <w:rFonts w:ascii="Arial" w:cs="Arial" w:eastAsia="Arial" w:hAnsi="Arial"/>
          <w:sz w:val="16"/>
          <w:szCs w:val="16"/>
          <w:color w:val="auto"/>
        </w:rPr>
      </w:pPr>
    </w:p>
    <w:p>
      <w:pPr>
        <w:ind w:left="680" w:right="220" w:hanging="321"/>
        <w:spacing w:after="0" w:line="26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stock option to purchase a Legacy Lordstown Option that was outstanding immediately prior to the Effective Time automatically converted into an option, which continued to be governed by the same terms and conditions (including vesting and exercisability terms) as were applicable immediately prior to the Effective Time.</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connection with the entry into the Business Combination Agreement, we sold an aggregate of 50 million shares of Class A common stock to certain investors for aggregate consideration of $500 million to provide us with additional capital. Concurrently with the Closing, we also issued to BGL the BGL Warrants.</w:t>
      </w:r>
    </w:p>
    <w:p>
      <w:pPr>
        <w:spacing w:after="0" w:line="18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 January 27, 2021, we redeemed all of the Public Warrants originally issued in the Initial Public Offering that remained outstanding. The BGL Warrants and the Private Placement Warrants were not subject to redemption and as of December 31, 2021, 2.3 million Private Placement Warrants and 1.6 million BGL Warrants were outstanding. Prior to the redemption, the term “Warrants” collectively refers to the Public Warrants, the Private Placement Warrants and the BGL Warrants and, after the redemption, collectively refers to the Private Placement Warrants and the BGL Warrants.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From time to time, we have and may become involved in legal proceedings arising in the ordinary course of business. We record a liability for loss contingencies in the consolidated financial statements when a loss is known or considered probable and the amount can be reasonably estimated. As of December 31, 2021 we have not established accruals or reserves as to most of our proceedings.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 and the outcome of litigation and regulatory proceedings is inherently uncertain. Other than as described below, there is no material pending or threatened litigation against the Company as of the date of this prospectus.</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18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6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 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$110,431.34. The Company does not intend to oppose Karma’s application for costs and fees at this time.</w:t>
      </w:r>
    </w:p>
    <w:p>
      <w:pPr>
        <w:spacing w:after="0" w:line="177"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January 27, 2022, the District Court granted the parties’ request to vacate the scheduled case deadlines and August 2022 trial date. Fact discovery is now scheduled to close on July 5, 2022, and a jury trial date has been set for December 5, 2022.</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 al. v. Lordstown Motors Corp. et al., (Case No. 21-cv-1021). The matters have been consolidated and the Court appointed George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6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is not resolved by September 3, 2022. The court further dismissed sua sponte on ripeness grounds plaintiffs’ claim for contribution for violations of Sections 10(b) and 21D of the Exchange Act without prejudice.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4"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On January 18, 2022, the defendants filed a motion to stay pending resolution of the consolidated securities class action. The parties do not yet have a schedule for briefing the motion to stay or responding to the complaint. An additional related stockholder derivative lawsuit was filed in the Delaware Court of Chancery on February 18, 2022 (Jackson v. Burns, et al. (C.A. No.</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2022-0164)), also asserting breach of fiduciary duties, unjust enrichment, and insider selling, based on similar facts as the federal derivative actions. The parties do not yet have a schedule for responding to the complaint. We intend to vigorously defend against these actions. The proceedings are subject to uncertainties inherent in the litigation process. We cannot predict the outcome of these matters or estimate the possible loss or range of possible loss, if any.</w:t>
      </w:r>
    </w:p>
    <w:p>
      <w:pPr>
        <w:spacing w:after="0" w:line="19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December 2, 2020 Detroit Utilities (“DTEL”) filed a complaint with the Trumbull County Common Pleas Court in Warren, Ohio alleging we breached a Utilities Services Agreement due to non-payment for services 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On March 8 2022, the parties entered into a settlement agreement with respect to the matter.</w:t>
      </w:r>
    </w:p>
    <w:p>
      <w:pPr>
        <w:spacing w:after="0" w:line="18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will be fully briefed on April 27, 2022, and is scheduled for oral argument on May 10,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and executive officers, and their respective ages, are as follows as of March 1, 2022:</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860" w:type="dxa"/>
            <w:vAlign w:val="bottom"/>
            <w:gridSpan w:val="2"/>
          </w:tcPr>
          <w:p>
            <w:pPr>
              <w:spacing w:after="0"/>
              <w:rPr>
                <w:sz w:val="20"/>
                <w:szCs w:val="20"/>
                <w:color w:val="auto"/>
              </w:rPr>
            </w:pPr>
            <w:r>
              <w:rPr>
                <w:rFonts w:ascii="Arial" w:cs="Arial" w:eastAsia="Arial" w:hAnsi="Arial"/>
                <w:sz w:val="14"/>
                <w:szCs w:val="14"/>
                <w:b w:val="1"/>
                <w:bCs w:val="1"/>
                <w:color w:val="231F20"/>
              </w:rPr>
              <w:t>Name</w:t>
            </w:r>
          </w:p>
        </w:tc>
        <w:tc>
          <w:tcPr>
            <w:tcW w:w="340" w:type="dxa"/>
            <w:vAlign w:val="bottom"/>
          </w:tcPr>
          <w:p>
            <w:pPr>
              <w:ind w:left="60"/>
              <w:spacing w:after="0"/>
              <w:rPr>
                <w:sz w:val="20"/>
                <w:szCs w:val="20"/>
                <w:color w:val="auto"/>
              </w:rPr>
            </w:pPr>
            <w:r>
              <w:rPr>
                <w:rFonts w:ascii="Arial" w:cs="Arial" w:eastAsia="Arial" w:hAnsi="Arial"/>
                <w:sz w:val="14"/>
                <w:szCs w:val="14"/>
                <w:b w:val="1"/>
                <w:bCs w:val="1"/>
                <w:color w:val="231F20"/>
                <w:w w:val="98"/>
              </w:rPr>
              <w:t>Age</w:t>
            </w:r>
          </w:p>
        </w:tc>
        <w:tc>
          <w:tcPr>
            <w:tcW w:w="300" w:type="dxa"/>
            <w:vAlign w:val="bottom"/>
          </w:tcPr>
          <w:p>
            <w:pPr>
              <w:spacing w:after="0"/>
              <w:rPr>
                <w:sz w:val="14"/>
                <w:szCs w:val="14"/>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231F20"/>
              </w:rPr>
              <w:t>Position</w:t>
            </w:r>
          </w:p>
        </w:tc>
      </w:tr>
      <w:tr>
        <w:trPr>
          <w:trHeight w:val="209"/>
        </w:trPr>
        <w:tc>
          <w:tcPr>
            <w:tcW w:w="2580" w:type="dxa"/>
            <w:vAlign w:val="bottom"/>
            <w:tcBorders>
              <w:top w:val="single" w:sz="8" w:color="231F20"/>
            </w:tcBorders>
            <w:shd w:val="clear" w:color="auto" w:fill="CCEEFF"/>
          </w:tcPr>
          <w:p>
            <w:pPr>
              <w:spacing w:after="0"/>
              <w:rPr>
                <w:sz w:val="20"/>
                <w:szCs w:val="20"/>
                <w:color w:val="auto"/>
              </w:rPr>
            </w:pPr>
            <w:r>
              <w:rPr>
                <w:rFonts w:ascii="Arial" w:cs="Arial" w:eastAsia="Arial" w:hAnsi="Arial"/>
                <w:sz w:val="18"/>
                <w:szCs w:val="18"/>
                <w:b w:val="1"/>
                <w:bCs w:val="1"/>
                <w:i w:val="1"/>
                <w:iCs w:val="1"/>
                <w:color w:val="231F20"/>
              </w:rPr>
              <w:t>Executive Officers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231F20"/>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231F20"/>
            </w:tcBorders>
            <w:shd w:val="clear" w:color="auto" w:fill="CCEEFF"/>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231F20"/>
              </w:rPr>
              <w:t>Daniel A. Ninivaggi</w:t>
            </w:r>
          </w:p>
        </w:tc>
        <w:tc>
          <w:tcPr>
            <w:tcW w:w="340" w:type="dxa"/>
            <w:vAlign w:val="bottom"/>
          </w:tcPr>
          <w:p>
            <w:pPr>
              <w:ind w:left="80"/>
              <w:spacing w:after="0"/>
              <w:rPr>
                <w:sz w:val="20"/>
                <w:szCs w:val="20"/>
                <w:color w:val="auto"/>
              </w:rPr>
            </w:pPr>
            <w:r>
              <w:rPr>
                <w:rFonts w:ascii="Arial" w:cs="Arial" w:eastAsia="Arial" w:hAnsi="Arial"/>
                <w:sz w:val="18"/>
                <w:szCs w:val="18"/>
                <w:color w:val="231F20"/>
              </w:rPr>
              <w:t>57</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Chief Executive Officer</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Adam Kroll</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47</w:t>
            </w: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231F20"/>
              </w:rPr>
              <w:t>Chief Financial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231F20"/>
              </w:rPr>
              <w:t>Edward T. Hightower</w:t>
            </w:r>
          </w:p>
        </w:tc>
        <w:tc>
          <w:tcPr>
            <w:tcW w:w="340" w:type="dxa"/>
            <w:vAlign w:val="bottom"/>
          </w:tcPr>
          <w:p>
            <w:pPr>
              <w:ind w:left="80"/>
              <w:spacing w:after="0"/>
              <w:rPr>
                <w:sz w:val="20"/>
                <w:szCs w:val="20"/>
                <w:color w:val="auto"/>
              </w:rPr>
            </w:pPr>
            <w:r>
              <w:rPr>
                <w:rFonts w:ascii="Arial" w:cs="Arial" w:eastAsia="Arial" w:hAnsi="Arial"/>
                <w:sz w:val="18"/>
                <w:szCs w:val="18"/>
                <w:color w:val="231F20"/>
              </w:rPr>
              <w:t>56</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President</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Jane Ritson-Parsons</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59</w:t>
            </w: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231F20"/>
              </w:rPr>
              <w:t>Executive Vice President — Chief Commercial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231F20"/>
              </w:rPr>
              <w:t>Melissa A. Leonard</w:t>
            </w:r>
          </w:p>
        </w:tc>
        <w:tc>
          <w:tcPr>
            <w:tcW w:w="340" w:type="dxa"/>
            <w:vAlign w:val="bottom"/>
          </w:tcPr>
          <w:p>
            <w:pPr>
              <w:ind w:left="80"/>
              <w:spacing w:after="0"/>
              <w:rPr>
                <w:sz w:val="20"/>
                <w:szCs w:val="20"/>
                <w:color w:val="auto"/>
              </w:rPr>
            </w:pPr>
            <w:r>
              <w:rPr>
                <w:rFonts w:ascii="Arial" w:cs="Arial" w:eastAsia="Arial" w:hAnsi="Arial"/>
                <w:sz w:val="18"/>
                <w:szCs w:val="18"/>
                <w:color w:val="231F20"/>
              </w:rPr>
              <w:t>54</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Executive Vice President, General Counsel &amp; Secretary</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231F20"/>
              </w:rPr>
              <w:t>Non-Employee Directors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spacing w:after="0" w:line="216" w:lineRule="exact"/>
              <w:rPr>
                <w:sz w:val="20"/>
                <w:szCs w:val="20"/>
                <w:color w:val="auto"/>
              </w:rPr>
            </w:pPr>
            <w:r>
              <w:rPr>
                <w:rFonts w:ascii="Arial" w:cs="Arial" w:eastAsia="Arial" w:hAnsi="Arial"/>
                <w:sz w:val="17"/>
                <w:szCs w:val="17"/>
                <w:color w:val="231F20"/>
              </w:rPr>
              <w:t>David T. Hamamoto</w:t>
            </w:r>
            <w:r>
              <w:rPr>
                <w:rFonts w:ascii="Arial" w:cs="Arial" w:eastAsia="Arial" w:hAnsi="Arial"/>
                <w:sz w:val="25"/>
                <w:szCs w:val="25"/>
                <w:color w:val="231F20"/>
                <w:vertAlign w:val="superscript"/>
              </w:rPr>
              <w:t>(3)</w:t>
            </w:r>
          </w:p>
        </w:tc>
        <w:tc>
          <w:tcPr>
            <w:tcW w:w="340" w:type="dxa"/>
            <w:vAlign w:val="bottom"/>
          </w:tcPr>
          <w:p>
            <w:pPr>
              <w:ind w:left="80"/>
              <w:spacing w:after="0"/>
              <w:rPr>
                <w:sz w:val="20"/>
                <w:szCs w:val="20"/>
                <w:color w:val="auto"/>
              </w:rPr>
            </w:pPr>
            <w:r>
              <w:rPr>
                <w:rFonts w:ascii="Arial" w:cs="Arial" w:eastAsia="Arial" w:hAnsi="Arial"/>
                <w:sz w:val="18"/>
                <w:szCs w:val="18"/>
                <w:color w:val="231F20"/>
              </w:rPr>
              <w:t>62</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28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231F20"/>
              </w:rPr>
              <w:t>Keith Feldman</w:t>
            </w:r>
            <w:r>
              <w:rPr>
                <w:rFonts w:ascii="Arial" w:cs="Arial" w:eastAsia="Arial" w:hAnsi="Arial"/>
                <w:sz w:val="25"/>
                <w:szCs w:val="25"/>
                <w:color w:val="231F20"/>
                <w:vertAlign w:val="superscript"/>
              </w:rPr>
              <w:t>(1)(2)</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45</w:t>
            </w: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2860" w:type="dxa"/>
            <w:vAlign w:val="bottom"/>
            <w:gridSpan w:val="2"/>
          </w:tcPr>
          <w:p>
            <w:pPr>
              <w:spacing w:after="0" w:line="216" w:lineRule="exact"/>
              <w:rPr>
                <w:sz w:val="20"/>
                <w:szCs w:val="20"/>
                <w:color w:val="auto"/>
              </w:rPr>
            </w:pPr>
            <w:r>
              <w:rPr>
                <w:rFonts w:ascii="Arial" w:cs="Arial" w:eastAsia="Arial" w:hAnsi="Arial"/>
                <w:sz w:val="17"/>
                <w:szCs w:val="17"/>
                <w:color w:val="231F20"/>
              </w:rPr>
              <w:t>Jane Reiss</w:t>
            </w:r>
            <w:r>
              <w:rPr>
                <w:rFonts w:ascii="Arial" w:cs="Arial" w:eastAsia="Arial" w:hAnsi="Arial"/>
                <w:sz w:val="25"/>
                <w:szCs w:val="25"/>
                <w:color w:val="231F20"/>
                <w:vertAlign w:val="superscript"/>
              </w:rPr>
              <w:t>(1)</w:t>
            </w:r>
          </w:p>
        </w:tc>
        <w:tc>
          <w:tcPr>
            <w:tcW w:w="340" w:type="dxa"/>
            <w:vAlign w:val="bottom"/>
          </w:tcPr>
          <w:p>
            <w:pPr>
              <w:ind w:left="80"/>
              <w:spacing w:after="0"/>
              <w:rPr>
                <w:sz w:val="20"/>
                <w:szCs w:val="20"/>
                <w:color w:val="auto"/>
              </w:rPr>
            </w:pPr>
            <w:r>
              <w:rPr>
                <w:rFonts w:ascii="Arial" w:cs="Arial" w:eastAsia="Arial" w:hAnsi="Arial"/>
                <w:sz w:val="18"/>
                <w:szCs w:val="18"/>
                <w:color w:val="231F20"/>
              </w:rPr>
              <w:t>60</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28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231F20"/>
              </w:rPr>
              <w:t>Dale Spencer</w:t>
            </w:r>
            <w:r>
              <w:rPr>
                <w:rFonts w:ascii="Arial" w:cs="Arial" w:eastAsia="Arial" w:hAnsi="Arial"/>
                <w:sz w:val="25"/>
                <w:szCs w:val="25"/>
                <w:color w:val="231F20"/>
                <w:vertAlign w:val="superscript"/>
              </w:rPr>
              <w:t>(2)(3)</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64</w:t>
            </w: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2860" w:type="dxa"/>
            <w:vAlign w:val="bottom"/>
            <w:gridSpan w:val="2"/>
          </w:tcPr>
          <w:p>
            <w:pPr>
              <w:spacing w:after="0" w:line="216" w:lineRule="exact"/>
              <w:rPr>
                <w:sz w:val="20"/>
                <w:szCs w:val="20"/>
                <w:color w:val="auto"/>
              </w:rPr>
            </w:pPr>
            <w:r>
              <w:rPr>
                <w:rFonts w:ascii="Arial" w:cs="Arial" w:eastAsia="Arial" w:hAnsi="Arial"/>
                <w:sz w:val="17"/>
                <w:szCs w:val="17"/>
                <w:color w:val="231F20"/>
              </w:rPr>
              <w:t>Michael Gates</w:t>
            </w:r>
            <w:r>
              <w:rPr>
                <w:rFonts w:ascii="Arial" w:cs="Arial" w:eastAsia="Arial" w:hAnsi="Arial"/>
                <w:sz w:val="25"/>
                <w:szCs w:val="25"/>
                <w:color w:val="231F20"/>
                <w:vertAlign w:val="superscript"/>
              </w:rPr>
              <w:t>(3)</w:t>
            </w:r>
          </w:p>
        </w:tc>
        <w:tc>
          <w:tcPr>
            <w:tcW w:w="340" w:type="dxa"/>
            <w:vAlign w:val="bottom"/>
          </w:tcPr>
          <w:p>
            <w:pPr>
              <w:ind w:left="80"/>
              <w:spacing w:after="0"/>
              <w:rPr>
                <w:sz w:val="20"/>
                <w:szCs w:val="20"/>
                <w:color w:val="auto"/>
              </w:rPr>
            </w:pPr>
            <w:r>
              <w:rPr>
                <w:rFonts w:ascii="Arial" w:cs="Arial" w:eastAsia="Arial" w:hAnsi="Arial"/>
                <w:sz w:val="18"/>
                <w:szCs w:val="18"/>
                <w:color w:val="231F20"/>
              </w:rPr>
              <w:t>61</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Director</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Angela Strand</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53</w:t>
            </w: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231F20"/>
              </w:rPr>
              <w:t>Director</w:t>
            </w:r>
          </w:p>
        </w:tc>
      </w:tr>
      <w:tr>
        <w:trPr>
          <w:trHeight w:val="353"/>
        </w:trPr>
        <w:tc>
          <w:tcPr>
            <w:tcW w:w="2860" w:type="dxa"/>
            <w:vAlign w:val="bottom"/>
            <w:gridSpan w:val="2"/>
          </w:tcPr>
          <w:p>
            <w:pPr>
              <w:spacing w:after="0"/>
              <w:rPr>
                <w:sz w:val="20"/>
                <w:szCs w:val="20"/>
                <w:color w:val="auto"/>
              </w:rPr>
            </w:pPr>
            <w:r>
              <w:rPr>
                <w:rFonts w:ascii="Arial" w:cs="Arial" w:eastAsia="Arial" w:hAnsi="Arial"/>
                <w:sz w:val="18"/>
                <w:szCs w:val="18"/>
                <w:color w:val="231F20"/>
              </w:rPr>
              <w:t>Martin J. Rucidlo</w:t>
            </w:r>
            <w:r>
              <w:rPr>
                <w:rFonts w:ascii="Arial" w:cs="Arial" w:eastAsia="Arial" w:hAnsi="Arial"/>
                <w:sz w:val="26"/>
                <w:szCs w:val="26"/>
                <w:color w:val="231F20"/>
                <w:vertAlign w:val="superscript"/>
              </w:rPr>
              <w:t>(1)</w:t>
            </w:r>
          </w:p>
        </w:tc>
        <w:tc>
          <w:tcPr>
            <w:tcW w:w="340" w:type="dxa"/>
            <w:vAlign w:val="bottom"/>
          </w:tcPr>
          <w:p>
            <w:pPr>
              <w:ind w:left="80"/>
              <w:spacing w:after="0"/>
              <w:rPr>
                <w:sz w:val="20"/>
                <w:szCs w:val="20"/>
                <w:color w:val="auto"/>
              </w:rPr>
            </w:pPr>
            <w:r>
              <w:rPr>
                <w:rFonts w:ascii="Arial" w:cs="Arial" w:eastAsia="Arial" w:hAnsi="Arial"/>
                <w:sz w:val="18"/>
                <w:szCs w:val="18"/>
                <w:color w:val="231F20"/>
              </w:rPr>
              <w:t>64</w:t>
            </w:r>
          </w:p>
        </w:tc>
        <w:tc>
          <w:tcPr>
            <w:tcW w:w="4740" w:type="dxa"/>
            <w:vAlign w:val="bottom"/>
            <w:gridSpan w:val="2"/>
          </w:tcPr>
          <w:p>
            <w:pPr>
              <w:ind w:left="280"/>
              <w:spacing w:after="0"/>
              <w:rPr>
                <w:sz w:val="20"/>
                <w:szCs w:val="20"/>
                <w:color w:val="auto"/>
              </w:rPr>
            </w:pPr>
            <w:r>
              <w:rPr>
                <w:rFonts w:ascii="Arial" w:cs="Arial" w:eastAsia="Arial" w:hAnsi="Arial"/>
                <w:sz w:val="18"/>
                <w:szCs w:val="18"/>
                <w:color w:val="231F20"/>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4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Member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Member of the nominating and corporate governance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firstLine="324"/>
        <w:spacing w:after="0" w:line="266" w:lineRule="auto"/>
        <w:rPr>
          <w:sz w:val="20"/>
          <w:szCs w:val="20"/>
          <w:color w:val="auto"/>
        </w:rPr>
      </w:pPr>
      <w:r>
        <w:rPr>
          <w:rFonts w:ascii="Arial" w:cs="Arial" w:eastAsia="Arial" w:hAnsi="Arial"/>
          <w:sz w:val="17"/>
          <w:szCs w:val="17"/>
          <w:b w:val="1"/>
          <w:bCs w:val="1"/>
          <w:i w:val="1"/>
          <w:iCs w:val="1"/>
          <w:color w:val="auto"/>
        </w:rPr>
        <w:t xml:space="preserve">Daniel A. Ninivaggi. </w:t>
      </w:r>
      <w:r>
        <w:rPr>
          <w:rFonts w:ascii="Arial" w:cs="Arial" w:eastAsia="Arial" w:hAnsi="Arial"/>
          <w:sz w:val="17"/>
          <w:szCs w:val="17"/>
          <w:color w:val="auto"/>
        </w:rPr>
        <w:t>Mr. Ninivaggi has served as our Chief Executive Officer and a director since August 2021. Prior to joining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Mr. Ninivaggi served as an independent consultant and board member from September 2019 to August 2021. Mr. Ninivaggi served as Chief Executive Officer of Icahn Automotive Group, LLC (“Icahn Automotive”) and Managing Director of Icahn Enterprises L.P. (“IEP”) – Automotive Segment from March 2017 through August 2019. IEP is a publicly traded diversified holding company and Icahn Automotive is a wholly-owned subsidiary of IEP. Prior to that, from February 2014 until March 2017, Mr. Ninivaggi served as Co-Chairman (from May 2015) and Co-CEO of Federal-Mogul Holdings Corp., an $8 billion automotive supplier (subsequently acquired by Tenneco, a publicly traded component supplier to automotive, commercial vehicle and industrial original equipment manufacturers and the independent automotive aftermarket). Mr. Ninivaggi was President and Chief Executive Officer of IEP between 2010 and 2014, at which time IEP operated through ten diverse operating segments. Mr. Ninivaggi has served as the Chairman of Garrett Motion Inc., a publicly traded manufacturer of turbochargers and electro-boosting technologies for vehicle manufacturers, since April 2021 and has served as a director of numerous other public and private companies, including: Hertz Global Holdings, Inc., a publicly traded car rental company (from September 2014 to June 2021); Metalsa S.A., a privately held manufacturer of frames and other structural components for automotive and commercial vehicles (Advisory Board); Navistar International Corporation, a publicly traded manufacturer of trucks, buses and engines (from August 2017 to October 2018); Icahn Enterprises G.P. Inc., the general partner of IEP (from 2012 to 2015); CVR Energy, Inc., a publicly traded independent petroleum refiner and marketer of high value transportation fuels (from 2012 to 2014); CVR GP, LLC, the general partner of CVR Partners LP, a publicly traded nitrogen fertilizer company (from 2012 to 2014); XO Holdings, a privately held telecommunications company affiliated with IEP (from 2010 to 2014); Tropicana Entertainment Inc., a publicly traded company primarily engaged in the business of owning and operating casinos and resorts (from 2011 to 2015); Motorola Mobility Holdings Inc., a publicly traded mobile phone and electronics manufacturer (from 2010 to 2011); and CIT Group, Inc., a publicly traded bank holding company (from 2009 to 2011). Prior to joining IEP, Mr. Ninivaggi spent six years at Lear Corporation, a publicly traded Tier 1 automotive supplier specializing, at the time, in seating systems, interior components and systems as well as electrical and electronic distribution systems and components. Mr. Ninivaggi began his career at the law firm of Skadden, Arps, Slate, Meagher &amp; Flom LLP before joining Winston &amp; Strawn LLP, where he became partner. He holds a Bachelor of Arts degree from Columbia University, an MBA from the University of Chicago Graduate School of Business, and a Juris Doctor degree (with distinction) from Stanford Law School.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b w:val="1"/>
          <w:bCs w:val="1"/>
          <w:i w:val="1"/>
          <w:iCs w:val="1"/>
          <w:color w:val="auto"/>
        </w:rPr>
        <w:t xml:space="preserve">Adam Kroll. </w:t>
      </w:r>
      <w:r>
        <w:rPr>
          <w:rFonts w:ascii="Arial" w:cs="Arial" w:eastAsia="Arial" w:hAnsi="Arial"/>
          <w:sz w:val="18"/>
          <w:szCs w:val="18"/>
          <w:color w:val="auto"/>
        </w:rPr>
        <w:t>Mr. Kroll has served as our Chief Financial Officer and Principal Accounting Officer since October 2021. Mr. Kroll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Administrative Officer of Hyzon Motors Inc., a publicly traded global supplier of zero-emissions hydrozen fuel cell powered commercial vehicles, from March through July 2021. From October 2020 through January 2021, Mr. Kroll was the interim Chief Financial Officer of UPG Enterprises, a family office operating diversified industrial companies (“UPG”). Prior to his tenure at UPG, Mr. Kroll spent five years at PSAV Holdings, a global event technology services provider, where he served in roles of increasing responsibility, including Treasurer, Head of Corporate Development and Senior Vice President — Finance. Prior to his time at PSAV Holdings, Mr. Kroll served as an investment banker at JP Morgan Chase, a publicly traded diversified global financial services company, and elsewhere focusing on the automotive industry where, during his tenure, he advised companies on capital markets, loan and M&amp;A transactions.</w:t>
      </w:r>
    </w:p>
    <w:p>
      <w:pPr>
        <w:spacing w:after="0" w:line="19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Edward T. Hightower. </w:t>
      </w:r>
      <w:r>
        <w:rPr>
          <w:rFonts w:ascii="Arial" w:cs="Arial" w:eastAsia="Arial" w:hAnsi="Arial"/>
          <w:sz w:val="17"/>
          <w:szCs w:val="17"/>
          <w:color w:val="auto"/>
        </w:rPr>
        <w:t>Mr. Hightower has served as our President since November 2021. Mr. Hightower served as the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Motoring Ventures LLC, a global investment and consulting firm for automotive and manufacturing businesses that Mr. Hightower founded (“Motoring Ventures”),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a publicly traded automobile manufacturer. Mr. Hightower has also served in related roles at Ford Motor Company and BMW of North America, Inc., each publicly traded automobile manufacturers, and has more than 30 years of experience in his field. Mr. Hightower has served as a director and member of the audit committee of Tritium DCFC Limited, a publicly traded developer of DC fast chargers for electric vehicles, since January 2022, and previously served as a board member of the Michigan Council — Boy Scouts of America, a non-profit organization dedicated to youth leadership training, from December 2018 to November 2021.</w:t>
      </w:r>
    </w:p>
    <w:p>
      <w:pPr>
        <w:spacing w:after="0" w:line="18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i w:val="1"/>
          <w:iCs w:val="1"/>
          <w:color w:val="auto"/>
        </w:rPr>
        <w:t xml:space="preserve">Jane Ritson-Parsons. </w:t>
      </w:r>
      <w:r>
        <w:rPr>
          <w:rFonts w:ascii="Arial" w:cs="Arial" w:eastAsia="Arial" w:hAnsi="Arial"/>
          <w:sz w:val="16"/>
          <w:szCs w:val="16"/>
          <w:color w:val="auto"/>
        </w:rPr>
        <w:t>Ms. Ritson-Parsons has served as our Executive Vice President, Chief Commercial Officer since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served as our Chief Interim Brand Officer from April 2021 to November 2021 and as our Chief Operating Officer from June 2021 to November 2021. Prior to joining the Company, Ms. Ritson-Parsons served as an independent consultant and advisor of The JRP Company, LLC, a consulting firm founded by Ms. Ritson-Parsons that advises companies, including the Company, on brand and marketing operations. Ms. Ritson- Parsons previously served as Group Executive, Global Brand Marketing at Hasbro Inc., a publicly traded play and entertainment company, from 2008 to 2018. Prior to that, she served in various capacities at Hasbro Inc. from 1993 to 2008. Ms. Ritson-Parsons currently serves as a director of Flat River Group, an end-to-end ecommerce distributor.</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Melissa A. Leonard. </w:t>
      </w:r>
      <w:r>
        <w:rPr>
          <w:rFonts w:ascii="Arial" w:cs="Arial" w:eastAsia="Arial" w:hAnsi="Arial"/>
          <w:sz w:val="17"/>
          <w:szCs w:val="17"/>
          <w:color w:val="auto"/>
        </w:rPr>
        <w:t>Ms. Leonard has served as our Executive Vice President, General Counsel and Secretary since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Leonard has been a corporate and transactional attorney at Baker &amp; Hostetler LLP, a national law firm, since 1995 and has extensive legal experience with mergers and acquisitions, financings, and corporate governance matters. Ms. Leonard has served as outside counsel to the Company since 2019 and was co-leader of the Mergers and Acquisitions team for Baker &amp; Hostetler LLP during 2021. Ms. Leonard was a member of the Board of Trustees of the Museum of Contemporary Art (MOCA), Cleveland, Ohio, a contemporary art venue, from 2007 — 2021 and served on the Finance and Governance Committees.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David T. Hamamoto. </w:t>
      </w:r>
      <w:r>
        <w:rPr>
          <w:rFonts w:ascii="Arial" w:cs="Arial" w:eastAsia="Arial" w:hAnsi="Arial"/>
          <w:sz w:val="16"/>
          <w:szCs w:val="16"/>
          <w:color w:val="auto"/>
        </w:rPr>
        <w:t>Mr. Hamamoto served as DiamondPeak’s (defined below) Chairman and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inception in November 2018 until October 2020 and continues to serve as our director. He is the Founder of DiamondHead Partners, LLC, a venture capital firm, which he established in 2017. Mr. Hamamoto has served as the Chief Executive Officer and a Director for DiamondHead Holdings Corp., a special purpose acquisition company, since January 2021. Previously, he served as Executive Vice Chairman of Colony NorthStar (now Colony Capital, Inc.), a publicly traded real estate and investment management firm, from January 2017 through January 2018. The NorthStar companies, which he founded, were sold to Colony Capital in January 2017. Prior to the sale, Mr. Hamamoto was Executive Chairman of NorthStar Asset Management Group, a publicly traded investment management firm, since 2015, having previously served as its Chairman and Chief Executive Officer from 2014 until 2015. Mr. Hamamoto was the Chairman of the board of directors of NorthStar Realty Finance Corp., a publicly traded real estate investment trust (“NRF”), from 2007 to January 2017 and served as one of its directors from 2003 to January 2017. Mr. Hamamoto previously served as NRF’s Chief Executive Officer from 2004 until 2015 and President from 2004 until 2011. Mr. Hamamoto was Chairman of the board of directors of NorthStar Realty Europe Corp. from 2015 to January 2017. In 1997, Mr. Hamamoto co-founded NorthStar Capital Investment Corp., the predecessor to NRF for which he served as Co-Chief Executive Officer until 2004. Prior to NorthStar, Mr. Hamamoto was a partner and co-head of the Real Estate Principal Investment Area at Goldman, Sachs &amp; Co. During Mr.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Hamamoto’s tenure at Goldman, Sachs &amp; Co., he initiated the firm’s effort to build a real estate principal investment business under the auspices of the Whitehall Funds. Mr. Hamamoto also serves as a director for the Worthless Foundation, Inc., a non-profit dedicated to promoting the arts and social welfare. He is well qualified to serve as a director due to his experience as a public company chairman, CEO and director and due to his extensive investment and operational experience.</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Keith Feldman. </w:t>
      </w:r>
      <w:r>
        <w:rPr>
          <w:rFonts w:ascii="Arial" w:cs="Arial" w:eastAsia="Arial" w:hAnsi="Arial"/>
          <w:sz w:val="16"/>
          <w:szCs w:val="16"/>
          <w:color w:val="auto"/>
        </w:rPr>
        <w:t>Mr. Feldman has served as our director since October 2020. Mr. Feldman has served as the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Director for DiamondHead Holdings Corp., a special purpose acquisition company, since January 2021. Mr. Feldman served as the Chief Financial Officer and Treasurer of NorthStar Realty Europe Corp., a publicly traded REIT focused on European commercial real estate properties from May 2017, through the acquisition by AXA Investment Managers — Real Assets in September 2019. Mr. Feldman served as a managing director of Colony Capital, Inc., a publicly traded real estate and investment management firm, from January 2017 to October 2019 and served as a managing director of NorthStar Asset Management Group Inc., a predecessor company of Colony Capital, Inc. from July 2014 to January 2017, as a managing director of NorthStar Realty Finance Corp. from January 2014 to July 2014 and as a director of NorthStar Realty Finance Corp. from January 2012 to December 2013. In each of these roles, Mr. Feldman’s responsibilities included capital markets, corporate finance, and investor relations. Earlier in his career, Mr. Feldman held various financial positions at NorthStar Realty Finance Corp., Goldman Sachs, J.P. Morgan Chase, each a publicly traded company in the investment banking and financial services industry, and KPMG LLP, a professional accounting firm. Mr. Feldman is a CFA charterholder and a CPA. He is well qualified to serve as a director due to his experience with the operations and management, financial reporting and auditing of public companies in addition to operational expertise.</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231F20"/>
        </w:rPr>
        <w:t>Jane Reiss</w:t>
      </w:r>
      <w:r>
        <w:rPr>
          <w:rFonts w:ascii="Arial" w:cs="Arial" w:eastAsia="Arial" w:hAnsi="Arial"/>
          <w:sz w:val="17"/>
          <w:szCs w:val="17"/>
          <w:i w:val="1"/>
          <w:iCs w:val="1"/>
          <w:color w:val="231F20"/>
        </w:rPr>
        <w: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Ms. Reiss has served as our director since October 2020. Ms. Reiss served as a director of Legacy Lordstown, our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 xml:space="preserve">predecessor company, from February 2020 until October 2020. Since April 2020, Ms. Reiss has been a Partner at Brunswick Group, a communications consulting firm, where she holds the position of North America Lead, Brunswick Group Creative. Ms. Reiss is a leading member of New York City’s advertising and marketing industry. Prior to Brunswick Group, Ms. Reiss served as Chief Marketing Officer and Chief Brand Experience Officer of Grey, one of the world’s largest global advertising networks. Prior to joining Grey, Ms. Reiss worked with a variety of international companies while serving as the Chief Marketing Officer of NYC &amp; Company, the official marketing, tourism and partnership organization for the City of New York under the leadership of Mayor Mike Bloomberg. Before joining NYC &amp; Company, Ms. Reiss served as Managing Director &amp; Partner at Margeotes Fertitta, an integrated communications services agency, where she specialized in leading retail-driven </w:t>
      </w:r>
      <w:r>
        <w:rPr>
          <w:rFonts w:ascii="Arial" w:cs="Arial" w:eastAsia="Arial" w:hAnsi="Arial"/>
          <w:sz w:val="17"/>
          <w:szCs w:val="17"/>
          <w:color w:val="000000"/>
        </w:rPr>
        <w:t>businesses. Ms. Reiss is well qualified to serve as a director due to her</w:t>
      </w:r>
      <w:r>
        <w:rPr>
          <w:rFonts w:ascii="Arial" w:cs="Arial" w:eastAsia="Arial" w:hAnsi="Arial"/>
          <w:sz w:val="17"/>
          <w:szCs w:val="17"/>
          <w:color w:val="231F20"/>
        </w:rPr>
        <w:t xml:space="preserve"> </w:t>
      </w:r>
      <w:r>
        <w:rPr>
          <w:rFonts w:ascii="Arial" w:cs="Arial" w:eastAsia="Arial" w:hAnsi="Arial"/>
          <w:sz w:val="17"/>
          <w:szCs w:val="17"/>
          <w:color w:val="000000"/>
        </w:rPr>
        <w:t>extensive marketing experience and varied experience in the public and private sector.</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231F20"/>
        </w:rPr>
        <w:t>Dale Spencer</w:t>
      </w:r>
      <w:r>
        <w:rPr>
          <w:rFonts w:ascii="Arial" w:cs="Arial" w:eastAsia="Arial" w:hAnsi="Arial"/>
          <w:sz w:val="18"/>
          <w:szCs w:val="18"/>
          <w:color w:val="231F20"/>
        </w:rPr>
        <w:t>. Mr. Spencer has served as our director since October 2020. Mr. Spencer served as a director of Legacy Lordstown,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our predecessor company, from February 2020 until October 2020. Mr. Spencer is the former Vice President of Automotive Maintenance and Engineering at United Parcel Service, a publicly traded multinational shipping and supply chain management company (“UPS”). As Vice President of UPS, Mr. Spencer led one of the largest and most dynamic fleets in North America with responsibilities for fleet duty cycles, maintenance and innovation. Mr. Spencer formerly served as a technical advisor on the board of directors of the North American Council for Freight Efficiency. He also has served as a consultant with multiple companies throughout the automotive industry. Mr. Spencer is well qualified to serve as a director due to his extensive experience with fleet operators and consulting experience through the automotive industry.</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231F20"/>
        </w:rPr>
        <w:t>Michael Gates</w:t>
      </w:r>
      <w:r>
        <w:rPr>
          <w:rFonts w:ascii="Arial" w:cs="Arial" w:eastAsia="Arial" w:hAnsi="Arial"/>
          <w:sz w:val="18"/>
          <w:szCs w:val="18"/>
          <w:color w:val="231F20"/>
        </w:rPr>
        <w:t>. Mr. Gates has served as our director since October 2020. Mr. Gates has served as the founder, owner and President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of Gridiron Development, a real estate construction and development firm in Mason, Ohio, since January 1994. Mr. Gates also previously founded and served as President of Broome Paving, a company specializing in services related to concrete and cement from January 1988 to January 1998, and as V.P. of Sales of Performance Site, an excavation and construction company, from January 1998 to January 2004. Mr. Gates is well qualified to serve as a director due to his experience founding, building and managing businesses in real estate, construction and development.</w:t>
      </w:r>
    </w:p>
    <w:p>
      <w:pPr>
        <w:spacing w:after="0" w:line="19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Angela Strand. </w:t>
      </w:r>
      <w:r>
        <w:rPr>
          <w:rFonts w:ascii="Arial" w:cs="Arial" w:eastAsia="Arial" w:hAnsi="Arial"/>
          <w:sz w:val="16"/>
          <w:szCs w:val="16"/>
          <w:color w:val="auto"/>
        </w:rPr>
        <w:t>Ms. Strand has served as our director since October 2020 and as our Non-Executive Chair since August 2021. 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Strand served as our Executive Chair from June 2021 to August 2021 and as our lead independent director from April 2021 to June 2021. Ms. Strand has also served as a director of Nuvve Holdings Corp., a publicly traded green energy technology company, since March 2021. Ms. Strand serves as the chairperson of the compensation committee and as a member of the nominating and corporate governance committee of Nuvve Holdings Corp. From March 2016 to March 2020, Ms. Strand served as a director of Integrity Applications, a publicly traded medical device company (“Integrity”). During her time at Integrity, Ms. Strand served as Vice Chairperson of the board of directors, as chairperson of the nominating and corporate governance and compensation committees and as a member of the audit committee. Ms. Strand was a founder and senior executive of Chanje, a joint venture between Smith Electric</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Vehicles, an electric vehicle manufacturer, and FDG Electric Vehicles Ltd. a publicly traded electric vehicle manufacturer, from 2016 to 2017, and a founder of In-Charge, an electric vehicle infrastructure solutions provider. Ms. Strand is also a named inventor with seven issued patents. From 2017 to 2018, Ms. Strand served as Vice President of Workhorse Group Inc., a publicly traded electric vehicle manufacturer (“Workhorse Group”); from 2011 to 2015, Ms. Strand served as the chief marketing officer and head of business development and government affairs for Smith Electric Vehicles. Ms. Strand has also served in various executive roles at medical device, biotech and digital health firms including Proteus Digital Health (acquired by Otsuka Pharmaceutical); Aerogen (acquired by Nektar Therapeutics), Novacept, Inc. (acquired by Cytyc) and FemRx (acquired by Johnson &amp; Johnson). Currently, Ms. Strand is an advisor for various companies and serves as the Founder/Managing Director of Strand Strategy, an advisory firm specializing in tech, business strategy and organization. She is well qualified to serve as a director due to her board experience and her experience in the electric vehicle industry.</w:t>
      </w:r>
    </w:p>
    <w:p>
      <w:pPr>
        <w:spacing w:after="0" w:line="19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231F20"/>
        </w:rPr>
        <w:t>Martin J. Rucidlo</w:t>
      </w:r>
      <w:r>
        <w:rPr>
          <w:rFonts w:ascii="Arial" w:cs="Arial" w:eastAsia="Arial" w:hAnsi="Arial"/>
          <w:sz w:val="17"/>
          <w:szCs w:val="17"/>
          <w:color w:val="231F20"/>
        </w:rPr>
        <w:t>. Mr. Rucidlo has served as our director since October 2020. Mr. Rucidlo has served as Xerion Advanced Battery</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Corp.’s, a lithium-ion battery manufacturer (“Xerion”), EVP since December 2017. Prior to joining Xerion, Mr. Rucidlo worked at Workhorse Group from 2010 to 2017, serving as VP of Manufacturing and as President, giving Mr. Rucidlo over 10 years of experience in the EV/Lithium-Ion battery space. He also has extensive executive leadership experience in technical sales and marketing management. From 1996 to 2010, Mr. Rucidlo has worked in sales and marketing management at the vice president or director level for start-ups, mid-sized and Fortune 500 corporations. He is well qualified to serve as a director due to his more than 15 years of leadership experience in manufacturing, mostly in the automotive and aerospace industries.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231F20"/>
        </w:rPr>
        <w:t>The board of directors consists of eight members. Angela Strand serves as Chairman of the Board. The primary responsibilities of the board of directors are to provide oversight, strategic guidance, counseling and direction to management.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board of directors is divided into the following three classes:</w:t>
      </w:r>
    </w:p>
    <w:p>
      <w:pPr>
        <w:spacing w:after="0" w:line="225" w:lineRule="exact"/>
        <w:rPr>
          <w:sz w:val="20"/>
          <w:szCs w:val="20"/>
          <w:color w:val="auto"/>
        </w:rPr>
      </w:pPr>
    </w:p>
    <w:p>
      <w:pPr>
        <w:ind w:left="680" w:right="30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Class I, which consists of Jane Reiss, Dale Spencer and Daniel Ninivaggi, whose terms will expire at the Company’s annual meeting of stockholders in 2024;</w:t>
      </w:r>
    </w:p>
    <w:p>
      <w:pPr>
        <w:spacing w:after="0" w:line="170"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Class II, which consists of Michael Gates, Angela Strand and Martin J. Rucidlo, whose terms will expire at the Company’s annual meeting of stockholders in 2022; and</w:t>
      </w:r>
    </w:p>
    <w:p>
      <w:pPr>
        <w:spacing w:after="0" w:line="170"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Class III, which consists of David Hamamoto and Keith Feldman, whose terms will expire at the Company’s annual meeting of stockholders in 2023.</w:t>
      </w:r>
    </w:p>
    <w:p>
      <w:pPr>
        <w:spacing w:after="0" w:line="170"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In accordance with the Charter, each director will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84"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Charter provides that any director or the entire board of directors may be removed from office at any time, but only for cause and only by the affirmative vote of the holders of a majority of the voting power of all of our then-outstanding shares of capital stock then-entitled to vote generally in the election of directors, voting together as a single class.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board of directors determined that each of our directors, other than Mr. Ninivaggi, qualifies as an independent director, as defined under the listing rules adopted by the Nasdaq Stock Market LLC (the “Nasdaq Listing Rules”), and that the board of directors consists of a majority of “independent directors,” as defined under the rules of the SEC and the Nasdaq Listing Rules relating to director independence requirements. In addition, we are subject to the rules of the SEC and Nasdaq relating to the membership, qualifications and operations of the audit committee, and each of the members of such committee is independent under such rules.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One of the key functions of the board of directors is informed oversight of our risk management process. The board of directors administers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the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The compensation committee assesses and monitors whether our compensation plans, policies and programs comply with applicable legal and regulatory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Upon the consummation of the Business Combination, the board of directors established an audit committee, a compensation committee and a nominating and corporate governance committee and adopted a charter for each of these committees, which charters comply with the applicable requirements of the Nasdaq Listing Rules. The charters are available on the investor relations portion of our website at www.lordstownmotors.com. Information contained on or accessible through this website is not a part of this prospectus or the registration statement of which it forms a part, and the inclusion of our website address in this prospectus is an inactive textual reference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audit committee consists of Keith Feldman, Jane Reiss and Martin Rucidlo. The Board has determined that each of the members of the audit committee satisfies the independence requirements of the Nasdaq Listing Rules and Rule 10A-3 under the Exchange Act. Each member of the audit committee can read and understand fundamental financial statements in accordance with Nasdaq audit committee requirements. In arriving at such determination, the Board examined each audit committee member’s scope of experience and the nature of their prior and/or current employment. The audit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Keith Feldman serves as the chair of the audit committee and the Board has determined that Keith Feldman qualifies as an audit committee financial expert within the meaning of SEC regulations.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functions of this committee include, among other things:</w:t>
      </w:r>
    </w:p>
    <w:p>
      <w:pPr>
        <w:spacing w:after="0" w:line="225" w:lineRule="exact"/>
        <w:rPr>
          <w:sz w:val="20"/>
          <w:szCs w:val="20"/>
          <w:color w:val="auto"/>
        </w:rPr>
      </w:pPr>
    </w:p>
    <w:p>
      <w:pPr>
        <w:ind w:left="680" w:right="4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evaluating the performance, independence and qualifications of our independent auditors and determining whether to retain our existing independent auditors or engage new independent auditors;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reviewing our financial reporting processes and disclosure controls;</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reviewing and approving the engagement of our independent auditors to perform audit services and any permissible non-audit services;</w:t>
      </w:r>
    </w:p>
    <w:p>
      <w:pPr>
        <w:spacing w:after="0" w:line="170"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reviewing the adequacy and effectiveness of our internal control policies and procedures, including the effectiveness of our internal audit function;</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reviewing with the independent auditors the annual audit plan, including the scope of audit activities and all critical accounting policies and practices to be used by us;</w:t>
      </w:r>
    </w:p>
    <w:p>
      <w:pPr>
        <w:spacing w:after="0" w:line="170" w:lineRule="exact"/>
        <w:rPr>
          <w:rFonts w:ascii="Arial" w:cs="Arial" w:eastAsia="Arial" w:hAnsi="Arial"/>
          <w:sz w:val="18"/>
          <w:szCs w:val="18"/>
          <w:color w:val="auto"/>
        </w:rPr>
      </w:pPr>
    </w:p>
    <w:p>
      <w:pPr>
        <w:ind w:left="680" w:right="340" w:hanging="321"/>
        <w:spacing w:after="0" w:line="308"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231F20"/>
        </w:rPr>
        <w:t>obtaining and reviewing at least annually a report by our independent auditors describing the independent auditors’ internal quality control procedures and any material issues raised by the most recent internal quality-control review;</w:t>
      </w:r>
    </w:p>
    <w:p>
      <w:pPr>
        <w:spacing w:after="0" w:line="146" w:lineRule="exact"/>
        <w:rPr>
          <w:rFonts w:ascii="Arial" w:cs="Arial" w:eastAsia="Arial" w:hAnsi="Arial"/>
          <w:sz w:val="17"/>
          <w:szCs w:val="17"/>
          <w:color w:val="auto"/>
        </w:rPr>
      </w:pPr>
    </w:p>
    <w:p>
      <w:pPr>
        <w:ind w:left="680" w:right="14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monitoring the rotation of our independent auditors’ lead audit and concurring partners and the rotation of other audit partners as required by law;</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right="2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prior to engagement of any independent auditor, and at least annually thereafter, reviewing relationships that may reasonably be thought to bear on its independence, and assessing and otherwise taking the appropriate action to oversee the independence of our independent auditor;</w:t>
      </w:r>
    </w:p>
    <w:p>
      <w:pPr>
        <w:spacing w:after="0" w:line="183" w:lineRule="exact"/>
        <w:rPr>
          <w:rFonts w:ascii="Arial" w:cs="Arial" w:eastAsia="Arial" w:hAnsi="Arial"/>
          <w:sz w:val="18"/>
          <w:szCs w:val="18"/>
          <w:color w:val="auto"/>
        </w:rPr>
      </w:pPr>
    </w:p>
    <w:p>
      <w:pPr>
        <w:ind w:left="680" w:right="8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reviewing our annual and quarterly financial statements and reports, including the disclosures contained in the section entitled “</w:t>
      </w:r>
      <w:r>
        <w:rPr>
          <w:rFonts w:ascii="Arial" w:cs="Arial" w:eastAsia="Arial" w:hAnsi="Arial"/>
          <w:sz w:val="18"/>
          <w:szCs w:val="18"/>
          <w:i w:val="1"/>
          <w:iCs w:val="1"/>
          <w:color w:val="231F20"/>
        </w:rPr>
        <w:t>Management’s Discussion and Analysis of Financial Condition and Results of Operations</w:t>
      </w:r>
      <w:r>
        <w:rPr>
          <w:rFonts w:ascii="Arial" w:cs="Arial" w:eastAsia="Arial" w:hAnsi="Arial"/>
          <w:sz w:val="18"/>
          <w:szCs w:val="18"/>
          <w:color w:val="231F20"/>
        </w:rPr>
        <w:t>,” and discussing the statements and reports with our independent auditors and management;</w:t>
      </w:r>
    </w:p>
    <w:p>
      <w:pPr>
        <w:spacing w:after="0" w:line="183" w:lineRule="exact"/>
        <w:rPr>
          <w:rFonts w:ascii="Arial" w:cs="Arial" w:eastAsia="Arial" w:hAnsi="Arial"/>
          <w:sz w:val="18"/>
          <w:szCs w:val="18"/>
          <w:color w:val="auto"/>
        </w:rPr>
      </w:pPr>
    </w:p>
    <w:p>
      <w:pPr>
        <w:ind w:left="680" w:right="34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83"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reviewing with management and our auditors any earnings announcements and other public announcements regarding material developments;</w:t>
      </w:r>
    </w:p>
    <w:p>
      <w:pPr>
        <w:spacing w:after="0" w:line="170"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establishing procedures for the receipt, retention and treatment of complaints received by us regarding accounting, internal accounting controls, auditing or other matters;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preparing the report that the SEC requires in our annual proxy statement;</w:t>
      </w:r>
    </w:p>
    <w:p>
      <w:pPr>
        <w:spacing w:after="0" w:line="225" w:lineRule="exact"/>
        <w:rPr>
          <w:rFonts w:ascii="Arial" w:cs="Arial" w:eastAsia="Arial" w:hAnsi="Arial"/>
          <w:sz w:val="18"/>
          <w:szCs w:val="18"/>
          <w:color w:val="auto"/>
        </w:rPr>
      </w:pPr>
    </w:p>
    <w:p>
      <w:pPr>
        <w:ind w:left="680" w:right="20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reviewing and providing oversight of any Related Person Transactions (as defined below) in accordance with our Related Person Transaction Policy and reviewing and monitoring compliance with legal and regulatory responsibilities, including our Code of Conduct (as defined below);</w:t>
      </w:r>
    </w:p>
    <w:p>
      <w:pPr>
        <w:spacing w:after="0" w:line="183" w:lineRule="exact"/>
        <w:rPr>
          <w:rFonts w:ascii="Arial" w:cs="Arial" w:eastAsia="Arial" w:hAnsi="Arial"/>
          <w:sz w:val="18"/>
          <w:szCs w:val="18"/>
          <w:color w:val="auto"/>
        </w:rPr>
      </w:pPr>
    </w:p>
    <w:p>
      <w:pPr>
        <w:ind w:left="680" w:right="52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reviewing our major financial risk exposures, including the guidelines and policies to govern the processes by which risk assessment and risk management are implemented; and</w:t>
      </w:r>
    </w:p>
    <w:p>
      <w:pPr>
        <w:spacing w:after="0" w:line="170" w:lineRule="exact"/>
        <w:rPr>
          <w:rFonts w:ascii="Arial" w:cs="Arial" w:eastAsia="Arial" w:hAnsi="Arial"/>
          <w:sz w:val="18"/>
          <w:szCs w:val="18"/>
          <w:color w:val="auto"/>
        </w:rPr>
      </w:pPr>
    </w:p>
    <w:p>
      <w:pPr>
        <w:ind w:left="680" w:right="56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reviewing and evaluating the audit committee charter annually and recommending any proposed changes to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2021 fiscal year, our Compensation Committee consisted of Ms. Strand, Chair (through June 2021, when she stepped down from the Committee to serve as Executive Chair), Mr. Spencer (who became Chair in June 2021), Mick Kowitz (who served on the Board and such committee until the 2021 annual meeting of stockholders in August 2021) and Mr. Feldman (since August 2021). The Board determined that each of the members of the compensation committee was, during the time he or she served on the committee, a non-employee director, as defined in Rule 16b-3 promulgated under the Exchange Act, and satisfies the independence requirements of the Nasdaq listing rules. The compensation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reviewing and approving the corporate objectives that pertain to the determination of executive compensation;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reviewing and approving the compensation and other terms of employment of our executive officers;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reviewing and approving performance goals and objectives relevant to the compensation of our executive officers and assessing their performance against these goals and objectives;</w:t>
      </w:r>
    </w:p>
    <w:p>
      <w:pPr>
        <w:spacing w:after="0" w:line="170"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making recommendations to the board of directors regarding the adoption or amendment of equity and cash incentive plans and approving amendments to such plans to the extent authorized by the board of directors;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right="6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reviewing and making recommendations to the board of directors regarding the type and amount of compensation to be paid or awarded to non-employee members of the board of directors;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reviewing and assessing the independence of compensation consultants, legal counsel and other advisors as required by Section 10C of the Exchange Act;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administering equity incentive plans, to the extent such authority is delegated by the board of directors;</w:t>
      </w:r>
    </w:p>
    <w:p>
      <w:pPr>
        <w:spacing w:after="0" w:line="225" w:lineRule="exact"/>
        <w:rPr>
          <w:rFonts w:ascii="Arial" w:cs="Arial" w:eastAsia="Arial" w:hAnsi="Arial"/>
          <w:sz w:val="18"/>
          <w:szCs w:val="18"/>
          <w:color w:val="auto"/>
        </w:rPr>
      </w:pPr>
    </w:p>
    <w:p>
      <w:pPr>
        <w:ind w:left="680" w:right="340" w:hanging="321"/>
        <w:spacing w:after="0" w:line="308"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reviewing and approving the terms of any employment agreements, severance arrangements, change in control protections, perquisites and any other compensation, and special or supplemental benefits for executive officers;</w:t>
      </w:r>
    </w:p>
    <w:p>
      <w:pPr>
        <w:spacing w:after="0" w:line="146" w:lineRule="exact"/>
        <w:rPr>
          <w:rFonts w:ascii="Arial" w:cs="Arial" w:eastAsia="Arial" w:hAnsi="Arial"/>
          <w:sz w:val="17"/>
          <w:szCs w:val="17"/>
          <w:color w:val="auto"/>
        </w:rPr>
      </w:pPr>
    </w:p>
    <w:p>
      <w:pPr>
        <w:ind w:left="680" w:right="120" w:hanging="321"/>
        <w:spacing w:after="0" w:line="34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231F20"/>
        </w:rPr>
        <w:t>reviewing with management our disclosures under the caption “</w:t>
      </w:r>
      <w:r>
        <w:rPr>
          <w:rFonts w:ascii="Arial" w:cs="Arial" w:eastAsia="Arial" w:hAnsi="Arial"/>
          <w:sz w:val="16"/>
          <w:szCs w:val="16"/>
          <w:i w:val="1"/>
          <w:iCs w:val="1"/>
          <w:color w:val="231F20"/>
        </w:rPr>
        <w:t>Compensation Discussion and Analysis</w:t>
      </w:r>
      <w:r>
        <w:rPr>
          <w:rFonts w:ascii="Arial" w:cs="Arial" w:eastAsia="Arial" w:hAnsi="Arial"/>
          <w:sz w:val="16"/>
          <w:szCs w:val="16"/>
          <w:color w:val="231F20"/>
        </w:rPr>
        <w:t>” in periodic reports or proxy statements to be filed with the SEC, to the extent such caption is included in any such report or proxy statement;</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preparing an annual report on executive compensation that the SEC requires in our annual proxy statement; and</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reviewing and evaluating the compensation committee charter annually and recommending any proposed changes to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During the 2021 fiscal year, our Nominating and Corporate Governance Committee consisted of Mr. Hamamoto, Chair, Mr. Gates, Ms. Strand (through June 2021, when she stepped down from the Committee to serve as Executive Chair) and Mr. Spencer (since June 2021). The Board determined that each of the members of the nominating and corporate governance committee, during the period he or she served on the committee, satisfied the independence requirements of the Nasdaq Listing Rules. The nominating and corporate governance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identifying, reviewing and making recommendations of candidates to serve on the board of directors;</w:t>
      </w:r>
    </w:p>
    <w:p>
      <w:pPr>
        <w:spacing w:after="0" w:line="225" w:lineRule="exact"/>
        <w:rPr>
          <w:rFonts w:ascii="Arial" w:cs="Arial" w:eastAsia="Arial" w:hAnsi="Arial"/>
          <w:sz w:val="18"/>
          <w:szCs w:val="18"/>
          <w:color w:val="auto"/>
        </w:rPr>
      </w:pPr>
    </w:p>
    <w:p>
      <w:pPr>
        <w:ind w:left="680" w:righ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evaluating the performance of the board of directors, committees of the board of directors and individual directors and determining whether continued service on the board of directors is appropriate;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evaluating nominations by stockholders of candidates for election to the board of directors;</w:t>
      </w:r>
    </w:p>
    <w:p>
      <w:pPr>
        <w:spacing w:after="0" w:line="225" w:lineRule="exact"/>
        <w:rPr>
          <w:rFonts w:ascii="Arial" w:cs="Arial" w:eastAsia="Arial" w:hAnsi="Arial"/>
          <w:sz w:val="18"/>
          <w:szCs w:val="18"/>
          <w:color w:val="auto"/>
        </w:rPr>
      </w:pPr>
    </w:p>
    <w:p>
      <w:pPr>
        <w:ind w:left="680" w:right="10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evaluating the current size, composition and organization of the board of directors and its committees and making recommendations to the board of directors for approval;</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developing a set of corporate governance policies and principles and recommending to the board of directors any changes to such policies and principles;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reviewing issues and developments related to corporate governance and identifying and bringing to the attention of the board of directors current and emerging corporate governance trends; and</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reviewing periodically the nominating and corporate governance committee charter, structure and membership requirements and recommending any proposed changes to the board of directors.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No member of our compensation committee has ever been our executive officer or employee. None of our executive officers currently serve, or have served during the last completed fiscal year, on the compensation committee or board of directors of any other entity that has one or more executive officers that serve as a member of such entity’s the board of directors or compensation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Charter limits directors’ liability to the fullest extent permitted under the DGCL. The DGCL provides that directors of a corporation will not be personally liable for monetary damages for breach of their fiduciary duties as directors, except for liability:</w:t>
      </w:r>
    </w:p>
    <w:p>
      <w:pPr>
        <w:spacing w:after="0" w:line="124"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for any transaction from which the director derives an improper personal benefit;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for 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for any unlawful payment of dividends or redemption of shares;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for any breach of a director’s duty of loyalty to the corporation or its stockholders.</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If the DGCL is amended to authorize corporate action eliminating or further limiting the personal liability of directors, then the liability of our directors will be eliminated or limited to the fullest extent permitted by the DGCL, as so amended.</w:t>
      </w:r>
    </w:p>
    <w:p>
      <w:pPr>
        <w:spacing w:after="0" w:line="14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Charter provides that we will, in certain situations, indemnify our directors and officers to the fullest extent permitted by law. Any indemnitee is also entitled, subject to certain limitations, to reimbursement of expenses (including attorney’s fees) incurred by such indemnitee in defending or otherwise participating in any proceeding in advance of its final disposition.</w:t>
      </w:r>
    </w:p>
    <w:p>
      <w:pPr>
        <w:spacing w:after="0" w:line="16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 indemnification provisions in the Charter are necessary to attract and retain qualified persons as directors and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management team underwent a number of key changes throughout 2021. Following the departure of our former Chairman of the Board and Chief Executive Officer, Stephen S. Burns, on June 13, 2021, Angela Strand served as our Executive Chair, until Ms. Strand was succeeded by our current Chief Executive Officer, Daniel A. Ninivaggi, on August 26, 2021. Ms. Strand has since served as Chairman of the Board. In addition, following the departure of our former Chief Financial Officer, Julio Rodriguez, on June 13, 2021, Rebecca A. Roof served as our Interim Chief Financial Officer, until Ms. Roof was succeeded by our current Chief Financial Officer, Adam Kroll, on October 25, 2021. Our former General Counsel and Corporate Secretary, Thomas V. Canepa, departed from his role on December 17, 2021, and was succeeded by Melissa A. Leonard on January 1, 2022. Our former Vice President of Propulsion, Chuan D. (John) Vo, also departed from his role on February 25, 2022.</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a result, certain of our named executive officers (“Named Executive Officers” or “NEOs”) below are no longer executive officers of the Company and are included in this section pursuant to SEC rules that require us to report compensation for each person who served as principal executive officer (“PEO”) during fiscal year 2021, the Company’s next two most highly paid executive officers as of the end of fiscal year 2021 and up to two more officers who would have been deemed to be named executive officers except they were not serving as executive officers at the end of fiscal year 2021, based on total compensation determined under Item 402 of Regulation S-K of the SEC Rules.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4"/>
                <w:szCs w:val="14"/>
                <w:color w:val="auto"/>
              </w:rPr>
            </w:pPr>
          </w:p>
        </w:tc>
        <w:tc>
          <w:tcPr>
            <w:tcW w:w="6480" w:type="dxa"/>
            <w:vAlign w:val="bottom"/>
            <w:gridSpan w:val="2"/>
          </w:tcPr>
          <w:p>
            <w:pPr>
              <w:ind w:left="29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Daniel A. Ninivaggi</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(current PEO) (since August 26, 2021)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Adam Kroll</w:t>
            </w:r>
          </w:p>
        </w:tc>
        <w:tc>
          <w:tcPr>
            <w:tcW w:w="580" w:type="dxa"/>
            <w:vAlign w:val="bottom"/>
          </w:tcPr>
          <w:p>
            <w:pPr>
              <w:ind w:left="180"/>
              <w:spacing w:after="0"/>
              <w:rPr>
                <w:sz w:val="20"/>
                <w:szCs w:val="20"/>
                <w:color w:val="auto"/>
              </w:rPr>
            </w:pPr>
            <w:r>
              <w:rPr>
                <w:rFonts w:ascii="Arial" w:cs="Arial" w:eastAsia="Arial" w:hAnsi="Arial"/>
                <w:sz w:val="18"/>
                <w:szCs w:val="18"/>
                <w:color w:val="auto"/>
              </w:rPr>
              <w:t>47</w:t>
            </w:r>
          </w:p>
        </w:tc>
        <w:tc>
          <w:tcPr>
            <w:tcW w:w="66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 Chief Financial Officer (since October 25, 2021)</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Ritson-Parsons</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59</w:t>
            </w: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 Chief Commercial Officer</w:t>
            </w:r>
          </w:p>
        </w:tc>
      </w:tr>
      <w:tr>
        <w:trPr>
          <w:trHeight w:val="202"/>
        </w:trPr>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rPr>
              <w:t>Stephen S. Burns</w:t>
            </w:r>
          </w:p>
        </w:tc>
        <w:tc>
          <w:tcPr>
            <w:tcW w:w="580" w:type="dxa"/>
            <w:vAlign w:val="bottom"/>
          </w:tcPr>
          <w:p>
            <w:pPr>
              <w:spacing w:after="0"/>
              <w:rPr>
                <w:sz w:val="17"/>
                <w:szCs w:val="17"/>
                <w:color w:val="auto"/>
              </w:rPr>
            </w:pPr>
          </w:p>
        </w:tc>
        <w:tc>
          <w:tcPr>
            <w:tcW w:w="66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Former Chairman of the Board and Former Chief Executive Officer (former PEO)</w:t>
            </w:r>
          </w:p>
        </w:tc>
      </w:tr>
      <w:tr>
        <w:trPr>
          <w:trHeight w:val="230"/>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62</w:t>
            </w:r>
          </w:p>
        </w:tc>
        <w:tc>
          <w:tcPr>
            <w:tcW w:w="6680" w:type="dxa"/>
            <w:vAlign w:val="bottom"/>
            <w:gridSpan w:val="3"/>
          </w:tcPr>
          <w:p>
            <w:pPr>
              <w:ind w:left="200"/>
              <w:spacing w:after="0"/>
              <w:rPr>
                <w:sz w:val="20"/>
                <w:szCs w:val="20"/>
                <w:color w:val="auto"/>
              </w:rPr>
            </w:pPr>
            <w:r>
              <w:rPr>
                <w:rFonts w:ascii="Arial" w:cs="Arial" w:eastAsia="Arial" w:hAnsi="Arial"/>
                <w:sz w:val="18"/>
                <w:szCs w:val="18"/>
                <w:color w:val="auto"/>
              </w:rPr>
              <w:t>(through June 14, 2021)</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Angela Strand</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53</w:t>
            </w: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5"/>
              </w:rPr>
              <w:t>Former Executive Chair (former PEO) (from June 18, 2021 through August 26, 2021)</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Thomas V. Canepa</w:t>
            </w:r>
          </w:p>
        </w:tc>
        <w:tc>
          <w:tcPr>
            <w:tcW w:w="580" w:type="dxa"/>
            <w:vAlign w:val="bottom"/>
          </w:tcPr>
          <w:p>
            <w:pPr>
              <w:ind w:left="180"/>
              <w:spacing w:after="0"/>
              <w:rPr>
                <w:sz w:val="20"/>
                <w:szCs w:val="20"/>
                <w:color w:val="auto"/>
              </w:rPr>
            </w:pPr>
            <w:r>
              <w:rPr>
                <w:rFonts w:ascii="Arial" w:cs="Arial" w:eastAsia="Arial" w:hAnsi="Arial"/>
                <w:sz w:val="18"/>
                <w:szCs w:val="18"/>
                <w:color w:val="auto"/>
              </w:rPr>
              <w:t>62</w:t>
            </w:r>
          </w:p>
        </w:tc>
        <w:tc>
          <w:tcPr>
            <w:tcW w:w="6680" w:type="dxa"/>
            <w:vAlign w:val="bottom"/>
            <w:gridSpan w:val="3"/>
          </w:tcPr>
          <w:p>
            <w:pPr>
              <w:ind w:left="200"/>
              <w:spacing w:after="0"/>
              <w:rPr>
                <w:sz w:val="20"/>
                <w:szCs w:val="20"/>
                <w:color w:val="auto"/>
              </w:rPr>
            </w:pPr>
            <w:r>
              <w:rPr>
                <w:rFonts w:ascii="Arial" w:cs="Arial" w:eastAsia="Arial" w:hAnsi="Arial"/>
                <w:sz w:val="18"/>
                <w:szCs w:val="18"/>
                <w:color w:val="auto"/>
              </w:rPr>
              <w:t>Former General Counsel and Corporate Secretary (through December 17, 2021)</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Chuan D. (John) Vo</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w:t>
            </w: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Former Vice President of Propulsion (through February 25, 2022)</w:t>
            </w:r>
          </w:p>
        </w:tc>
      </w:tr>
    </w:tbl>
    <w:p>
      <w:pPr>
        <w:spacing w:after="0" w:line="202"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For information regarding the employment agreements of our currently-serving NEOS, and the separation arrangements of our former NEOs, see “</w:t>
      </w:r>
      <w:r>
        <w:rPr>
          <w:rFonts w:ascii="Arial" w:cs="Arial" w:eastAsia="Arial" w:hAnsi="Arial"/>
          <w:sz w:val="17"/>
          <w:szCs w:val="17"/>
          <w:i w:val="1"/>
          <w:iCs w:val="1"/>
          <w:color w:val="auto"/>
        </w:rPr>
        <w:t>Executive Compensation — Agreements with the Named Executive Officers</w:t>
      </w:r>
      <w:r>
        <w:rPr>
          <w:rFonts w:ascii="Arial" w:cs="Arial" w:eastAsia="Arial" w:hAnsi="Arial"/>
          <w:sz w:val="17"/>
          <w:szCs w:val="17"/>
          <w:color w:val="auto"/>
        </w:rPr>
        <w:t>”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Generally</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compensation and benefits programs are designed to attract, retain, incentivize and reward deeply talented and qualified executives who share our philosophy and desire to work towards achieving our strategic objectives. In 2021, decisions were impacted by management departures and attracting and hiring a new management team. Except as described herein and in connection with new hires, our 2021 compensation program consisted primarily of base salary and equity awards. Decisions on the executive compensation program are made by the Compensation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 ended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ALL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20"/>
                <w:szCs w:val="20"/>
                <w:color w:val="auto"/>
              </w:rPr>
            </w:pPr>
            <w:r>
              <w:rPr>
                <w:rFonts w:ascii="Arial" w:cs="Arial" w:eastAsia="Arial" w:hAnsi="Arial"/>
                <w:sz w:val="14"/>
                <w:szCs w:val="14"/>
                <w:b w:val="1"/>
                <w:bCs w:val="1"/>
                <w:color w:val="auto"/>
              </w:rPr>
              <w:t>AND PRINCIPAL POSITION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AWARDS(1)</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AWARDS(1)</w:t>
            </w:r>
          </w:p>
        </w:tc>
        <w:tc>
          <w:tcPr>
            <w:tcW w:w="140" w:type="dxa"/>
            <w:vAlign w:val="bottom"/>
          </w:tcPr>
          <w:p>
            <w:pPr>
              <w:spacing w:after="0"/>
              <w:rPr>
                <w:sz w:val="14"/>
                <w:szCs w:val="14"/>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COMPENSATION(2)</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Daniel A. Ninivaggi</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280"/>
              <w:spacing w:after="0" w:line="123" w:lineRule="exact"/>
              <w:rPr>
                <w:sz w:val="20"/>
                <w:szCs w:val="20"/>
                <w:color w:val="auto"/>
              </w:rPr>
            </w:pPr>
            <w:r>
              <w:rPr>
                <w:rFonts w:ascii="Arial" w:cs="Arial" w:eastAsia="Arial" w:hAnsi="Arial"/>
                <w:sz w:val="14"/>
                <w:szCs w:val="14"/>
                <w:color w:val="auto"/>
                <w:w w:val="83"/>
              </w:rPr>
              <w:t>2021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236,538</w:t>
            </w:r>
          </w:p>
        </w:tc>
        <w:tc>
          <w:tcPr>
            <w:tcW w:w="180" w:type="dxa"/>
            <w:vAlign w:val="bottom"/>
            <w:tcBorders>
              <w:top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3"/>
              </w:rPr>
              <w:t>(3)</w:t>
            </w:r>
          </w:p>
        </w:tc>
        <w:tc>
          <w:tcPr>
            <w:tcW w:w="1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160,740</w:t>
            </w: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3,857,000</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1,309,770</w:t>
            </w: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28"/>
              <w:spacing w:after="0" w:line="12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5,564,048</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(since August 26, 2021)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Adam Kroll</w:t>
            </w:r>
          </w:p>
        </w:tc>
        <w:tc>
          <w:tcPr>
            <w:tcW w:w="800" w:type="dxa"/>
            <w:vAlign w:val="bottom"/>
            <w:gridSpan w:val="4"/>
          </w:tcPr>
          <w:p>
            <w:pPr>
              <w:ind w:left="420"/>
              <w:spacing w:after="0" w:line="130" w:lineRule="exact"/>
              <w:rPr>
                <w:sz w:val="20"/>
                <w:szCs w:val="20"/>
                <w:color w:val="auto"/>
              </w:rPr>
            </w:pPr>
            <w:r>
              <w:rPr>
                <w:rFonts w:ascii="Arial" w:cs="Arial" w:eastAsia="Arial" w:hAnsi="Arial"/>
                <w:sz w:val="14"/>
                <w:szCs w:val="14"/>
                <w:color w:val="auto"/>
              </w:rPr>
              <w:t>2021</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69,231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1,307,500</w:t>
            </w:r>
          </w:p>
        </w:tc>
        <w:tc>
          <w:tcPr>
            <w:tcW w:w="140" w:type="dxa"/>
            <w:vAlign w:val="bottom"/>
          </w:tcPr>
          <w:p>
            <w:pPr>
              <w:spacing w:after="0"/>
              <w:rPr>
                <w:sz w:val="11"/>
                <w:szCs w:val="11"/>
                <w:color w:val="auto"/>
              </w:rPr>
            </w:pPr>
          </w:p>
        </w:tc>
        <w:tc>
          <w:tcPr>
            <w:tcW w:w="12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400,440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1,777,171</w:t>
            </w:r>
          </w:p>
        </w:tc>
        <w:tc>
          <w:tcPr>
            <w:tcW w:w="0" w:type="dxa"/>
            <w:vAlign w:val="bottom"/>
          </w:tcPr>
          <w:p>
            <w:pPr>
              <w:spacing w:after="0"/>
              <w:rPr>
                <w:sz w:val="1"/>
                <w:szCs w:val="1"/>
                <w:color w:val="auto"/>
              </w:rPr>
            </w:pPr>
          </w:p>
        </w:tc>
      </w:tr>
      <w:tr>
        <w:trPr>
          <w:trHeight w:val="148"/>
        </w:trPr>
        <w:tc>
          <w:tcPr>
            <w:tcW w:w="24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Chief Financial Officer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40"/>
              <w:spacing w:after="0"/>
              <w:rPr>
                <w:sz w:val="20"/>
                <w:szCs w:val="20"/>
                <w:color w:val="auto"/>
              </w:rPr>
            </w:pPr>
            <w:r>
              <w:rPr>
                <w:rFonts w:ascii="Arial" w:cs="Arial" w:eastAsia="Arial" w:hAnsi="Arial"/>
                <w:sz w:val="14"/>
                <w:szCs w:val="14"/>
                <w:i w:val="1"/>
                <w:iCs w:val="1"/>
                <w:color w:val="auto"/>
              </w:rPr>
              <w:t>(since October 25,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Jane Ritson-Parsons</w:t>
            </w:r>
          </w:p>
        </w:tc>
        <w:tc>
          <w:tcPr>
            <w:tcW w:w="800" w:type="dxa"/>
            <w:vAlign w:val="bottom"/>
            <w:gridSpan w:val="4"/>
            <w:shd w:val="clear" w:color="auto" w:fill="CCEEFF"/>
          </w:tcPr>
          <w:p>
            <w:pPr>
              <w:ind w:left="420"/>
              <w:spacing w:after="0" w:line="130" w:lineRule="exact"/>
              <w:rPr>
                <w:sz w:val="20"/>
                <w:szCs w:val="20"/>
                <w:color w:val="auto"/>
              </w:rPr>
            </w:pPr>
            <w:r>
              <w:rPr>
                <w:rFonts w:ascii="Arial" w:cs="Arial" w:eastAsia="Arial" w:hAnsi="Arial"/>
                <w:sz w:val="14"/>
                <w:szCs w:val="14"/>
                <w:color w:val="auto"/>
              </w:rPr>
              <w:t>2021</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200,000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100,000</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3,993,500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2,677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4,296,177</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Chief Commercial Officer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Angela Strand</w:t>
            </w:r>
          </w:p>
        </w:tc>
        <w:tc>
          <w:tcPr>
            <w:tcW w:w="800" w:type="dxa"/>
            <w:vAlign w:val="bottom"/>
            <w:gridSpan w:val="4"/>
          </w:tcPr>
          <w:p>
            <w:pPr>
              <w:ind w:left="420"/>
              <w:spacing w:after="0" w:line="130" w:lineRule="exact"/>
              <w:rPr>
                <w:sz w:val="20"/>
                <w:szCs w:val="20"/>
                <w:color w:val="auto"/>
              </w:rPr>
            </w:pPr>
            <w:r>
              <w:rPr>
                <w:rFonts w:ascii="Arial" w:cs="Arial" w:eastAsia="Arial" w:hAnsi="Arial"/>
                <w:sz w:val="14"/>
                <w:szCs w:val="14"/>
                <w:color w:val="auto"/>
              </w:rPr>
              <w:t>2021</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900,521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1,400,521</w:t>
            </w:r>
          </w:p>
        </w:tc>
        <w:tc>
          <w:tcPr>
            <w:tcW w:w="0" w:type="dxa"/>
            <w:vAlign w:val="bottom"/>
          </w:tcPr>
          <w:p>
            <w:pPr>
              <w:spacing w:after="0"/>
              <w:rPr>
                <w:sz w:val="1"/>
                <w:szCs w:val="1"/>
                <w:color w:val="auto"/>
              </w:rPr>
            </w:pPr>
          </w:p>
        </w:tc>
      </w:tr>
      <w:tr>
        <w:trPr>
          <w:trHeight w:val="148"/>
        </w:trPr>
        <w:tc>
          <w:tcPr>
            <w:tcW w:w="24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Former Executive Chair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(from June 18, 2021 to August 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40"/>
              <w:spacing w:after="0"/>
              <w:rPr>
                <w:sz w:val="20"/>
                <w:szCs w:val="20"/>
                <w:color w:val="auto"/>
              </w:rPr>
            </w:pPr>
            <w:r>
              <w:rPr>
                <w:rFonts w:ascii="Arial" w:cs="Arial" w:eastAsia="Arial" w:hAnsi="Arial"/>
                <w:sz w:val="14"/>
                <w:szCs w:val="14"/>
                <w:i w:val="1"/>
                <w:iCs w:val="1"/>
                <w:color w:val="auto"/>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Stephen S. Burns</w:t>
            </w:r>
          </w:p>
        </w:tc>
        <w:tc>
          <w:tcPr>
            <w:tcW w:w="800" w:type="dxa"/>
            <w:vAlign w:val="bottom"/>
            <w:gridSpan w:val="4"/>
            <w:shd w:val="clear" w:color="auto" w:fill="CCEEFF"/>
          </w:tcPr>
          <w:p>
            <w:pPr>
              <w:ind w:left="420"/>
              <w:spacing w:after="0" w:line="130" w:lineRule="exact"/>
              <w:rPr>
                <w:sz w:val="20"/>
                <w:szCs w:val="20"/>
                <w:color w:val="auto"/>
              </w:rPr>
            </w:pPr>
            <w:r>
              <w:rPr>
                <w:rFonts w:ascii="Arial" w:cs="Arial" w:eastAsia="Arial" w:hAnsi="Arial"/>
                <w:sz w:val="14"/>
                <w:szCs w:val="14"/>
                <w:color w:val="auto"/>
              </w:rPr>
              <w:t>2021</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258,654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230,769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489,423</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Former Chief Executive Officer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(through June 14, 2021)</w:t>
            </w:r>
          </w:p>
        </w:tc>
        <w:tc>
          <w:tcPr>
            <w:tcW w:w="800" w:type="dxa"/>
            <w:vAlign w:val="bottom"/>
            <w:gridSpan w:val="4"/>
            <w:shd w:val="clear" w:color="auto" w:fill="CCEEFF"/>
          </w:tcPr>
          <w:p>
            <w:pPr>
              <w:ind w:left="420"/>
              <w:spacing w:after="0"/>
              <w:rPr>
                <w:sz w:val="20"/>
                <w:szCs w:val="20"/>
                <w:color w:val="auto"/>
              </w:rPr>
            </w:pPr>
            <w:r>
              <w:rPr>
                <w:rFonts w:ascii="Arial" w:cs="Arial" w:eastAsia="Arial" w:hAnsi="Arial"/>
                <w:sz w:val="14"/>
                <w:szCs w:val="14"/>
                <w:color w:val="auto"/>
              </w:rPr>
              <w:t>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269,266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269,266</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Thomas V. Canepa</w:t>
            </w:r>
          </w:p>
        </w:tc>
        <w:tc>
          <w:tcPr>
            <w:tcW w:w="800" w:type="dxa"/>
            <w:vAlign w:val="bottom"/>
            <w:gridSpan w:val="4"/>
          </w:tcPr>
          <w:p>
            <w:pPr>
              <w:ind w:left="420"/>
              <w:spacing w:after="0" w:line="130" w:lineRule="exact"/>
              <w:rPr>
                <w:sz w:val="20"/>
                <w:szCs w:val="20"/>
                <w:color w:val="auto"/>
              </w:rPr>
            </w:pPr>
            <w:r>
              <w:rPr>
                <w:rFonts w:ascii="Arial" w:cs="Arial" w:eastAsia="Arial" w:hAnsi="Arial"/>
                <w:sz w:val="14"/>
                <w:szCs w:val="14"/>
                <w:color w:val="auto"/>
              </w:rPr>
              <w:t>2021</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397,885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2,282,000</w:t>
            </w:r>
          </w:p>
        </w:tc>
        <w:tc>
          <w:tcPr>
            <w:tcW w:w="140" w:type="dxa"/>
            <w:vAlign w:val="bottom"/>
          </w:tcPr>
          <w:p>
            <w:pPr>
              <w:spacing w:after="0"/>
              <w:rPr>
                <w:sz w:val="11"/>
                <w:szCs w:val="11"/>
                <w:color w:val="auto"/>
              </w:rPr>
            </w:pPr>
          </w:p>
        </w:tc>
        <w:tc>
          <w:tcPr>
            <w:tcW w:w="12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190,805</w:t>
            </w:r>
          </w:p>
        </w:tc>
        <w:tc>
          <w:tcPr>
            <w:tcW w:w="42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30" w:lineRule="exact"/>
              <w:rPr>
                <w:sz w:val="20"/>
                <w:szCs w:val="20"/>
                <w:color w:val="auto"/>
              </w:rPr>
            </w:pPr>
            <w:r>
              <w:rPr>
                <w:rFonts w:ascii="Arial" w:cs="Arial" w:eastAsia="Arial" w:hAnsi="Arial"/>
                <w:sz w:val="14"/>
                <w:szCs w:val="14"/>
                <w:color w:val="auto"/>
              </w:rPr>
              <w:t>1,358</w:t>
            </w:r>
          </w:p>
        </w:tc>
        <w:tc>
          <w:tcPr>
            <w:tcW w:w="140" w:type="dxa"/>
            <w:vAlign w:val="bottom"/>
          </w:tcPr>
          <w:p>
            <w:pPr>
              <w:spacing w:after="0"/>
              <w:rPr>
                <w:sz w:val="11"/>
                <w:szCs w:val="11"/>
                <w:color w:val="auto"/>
              </w:rPr>
            </w:pPr>
          </w:p>
        </w:tc>
        <w:tc>
          <w:tcPr>
            <w:tcW w:w="14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2,872,048</w:t>
            </w:r>
          </w:p>
        </w:tc>
        <w:tc>
          <w:tcPr>
            <w:tcW w:w="0" w:type="dxa"/>
            <w:vAlign w:val="bottom"/>
          </w:tcPr>
          <w:p>
            <w:pPr>
              <w:spacing w:after="0"/>
              <w:rPr>
                <w:sz w:val="1"/>
                <w:szCs w:val="1"/>
                <w:color w:val="auto"/>
              </w:rPr>
            </w:pPr>
          </w:p>
        </w:tc>
      </w:tr>
      <w:tr>
        <w:trPr>
          <w:trHeight w:val="148"/>
        </w:trPr>
        <w:tc>
          <w:tcPr>
            <w:tcW w:w="24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w w:val="98"/>
              </w:rPr>
              <w:t>Former General Counsel &amp; Corporate</w:t>
            </w:r>
          </w:p>
        </w:tc>
        <w:tc>
          <w:tcPr>
            <w:tcW w:w="800" w:type="dxa"/>
            <w:vAlign w:val="bottom"/>
            <w:gridSpan w:val="4"/>
          </w:tcPr>
          <w:p>
            <w:pPr>
              <w:ind w:left="420"/>
              <w:spacing w:after="0" w:line="149" w:lineRule="exact"/>
              <w:rPr>
                <w:sz w:val="20"/>
                <w:szCs w:val="20"/>
                <w:color w:val="auto"/>
              </w:rPr>
            </w:pPr>
            <w:r>
              <w:rPr>
                <w:rFonts w:ascii="Arial" w:cs="Arial" w:eastAsia="Arial" w:hAnsi="Arial"/>
                <w:sz w:val="14"/>
                <w:szCs w:val="14"/>
                <w:color w:val="auto"/>
              </w:rPr>
              <w:t>2020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292,345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88,040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380,385</w:t>
            </w:r>
          </w:p>
        </w:tc>
        <w:tc>
          <w:tcPr>
            <w:tcW w:w="0" w:type="dxa"/>
            <w:vAlign w:val="bottom"/>
          </w:tcPr>
          <w:p>
            <w:pPr>
              <w:spacing w:after="0"/>
              <w:rPr>
                <w:sz w:val="1"/>
                <w:szCs w:val="1"/>
                <w:color w:val="auto"/>
              </w:rPr>
            </w:pPr>
          </w:p>
        </w:tc>
      </w:tr>
      <w:tr>
        <w:trPr>
          <w:trHeight w:val="148"/>
        </w:trPr>
        <w:tc>
          <w:tcPr>
            <w:tcW w:w="24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Secretary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40"/>
              <w:spacing w:after="0"/>
              <w:rPr>
                <w:sz w:val="20"/>
                <w:szCs w:val="20"/>
                <w:color w:val="auto"/>
              </w:rPr>
            </w:pPr>
            <w:r>
              <w:rPr>
                <w:rFonts w:ascii="Arial" w:cs="Arial" w:eastAsia="Arial" w:hAnsi="Arial"/>
                <w:sz w:val="14"/>
                <w:szCs w:val="14"/>
                <w:i w:val="1"/>
                <w:iCs w:val="1"/>
                <w:color w:val="auto"/>
              </w:rPr>
              <w:t>(through December 17,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Chuan D. (John) Vo</w:t>
            </w:r>
          </w:p>
        </w:tc>
        <w:tc>
          <w:tcPr>
            <w:tcW w:w="800" w:type="dxa"/>
            <w:vAlign w:val="bottom"/>
            <w:gridSpan w:val="4"/>
            <w:shd w:val="clear" w:color="auto" w:fill="CCEEFF"/>
          </w:tcPr>
          <w:p>
            <w:pPr>
              <w:ind w:left="420"/>
              <w:spacing w:after="0" w:line="130" w:lineRule="exact"/>
              <w:rPr>
                <w:sz w:val="20"/>
                <w:szCs w:val="20"/>
                <w:color w:val="auto"/>
              </w:rPr>
            </w:pPr>
            <w:r>
              <w:rPr>
                <w:rFonts w:ascii="Arial" w:cs="Arial" w:eastAsia="Arial" w:hAnsi="Arial"/>
                <w:sz w:val="14"/>
                <w:szCs w:val="14"/>
                <w:color w:val="auto"/>
              </w:rPr>
              <w:t>2021</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301,923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2,496,500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154,707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2,953,130</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Former Vice President of Propulsion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(through February 25, 2022)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5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grant-date fair value of awards granted to each Named Executive Officer, computed in accordance with FASB ASC Topic 718. Stock awards include RSUs and performance-vested RSUs valued based on the closing market price of the Common Stock on the grant date. For purposes of valuation of the 200,000 performance-vested RSUs granted to Mr. Vo on December 7, 2021, the Company assigned a 25% probability as of the grant date that such shares would vest in full.</w:t>
      </w:r>
    </w:p>
    <w:p>
      <w:pPr>
        <w:spacing w:after="0" w:line="187"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this column represents $230,769 paid during 2021 as severance according to Mr. Burns’ separation agreement with the Company, and $2,677, with respect to Ms. Ritson-Parsons, and $1,358, with respect to Mr. Canepa, paid during 2021 as 401(k) matching contributions.</w:t>
      </w:r>
    </w:p>
    <w:p>
      <w:pPr>
        <w:spacing w:after="0" w:line="183"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salary for Mr. Ninivaggi accounts for a voluntary reduction in annual base salary from $750,000 to $675,000, effective November 29,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 xml:space="preserve">For 2021, the compensation program for the Named Executive Officers consisted primarily of base salary and long-term incentive compensation delivered in the form of stock option awards, as well as time-based and performance-based RSUs. In addition, certain amounts were paid to our Named Executive Officers in connection with their termination of employment with the Company consistent with their applicable employment agreement and/or separation agreement, see </w:t>
      </w:r>
      <w:r>
        <w:rPr>
          <w:rFonts w:ascii="Arial" w:cs="Arial" w:eastAsia="Arial" w:hAnsi="Arial"/>
          <w:sz w:val="16"/>
          <w:szCs w:val="16"/>
          <w:i w:val="1"/>
          <w:iCs w:val="1"/>
          <w:color w:val="auto"/>
        </w:rPr>
        <w:t>“Agreements with the Named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base salary for each of our NEOs was determined at the time they entered into their employment agreements or was as adjusted by the Compensation Committee following entry into such employment agreement. Salaries were set at a level commensurate with the NEO’s duties and authorities, contributions, prior experience and sustained performance, and also accounted for the fact that as a start-up with limited funds, a significant portion of total compensation would initially be in the form of stock options for NEOs.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w:t>
      </w:r>
    </w:p>
    <w:p>
      <w:pPr>
        <w:spacing w:after="0" w:line="225" w:lineRule="exact"/>
        <w:rPr>
          <w:sz w:val="20"/>
          <w:szCs w:val="20"/>
          <w:color w:val="auto"/>
        </w:rPr>
      </w:pPr>
    </w:p>
    <w:p>
      <w:pPr>
        <w:ind w:right="420" w:firstLine="324"/>
        <w:spacing w:after="0" w:line="311" w:lineRule="auto"/>
        <w:rPr>
          <w:sz w:val="20"/>
          <w:szCs w:val="20"/>
          <w:color w:val="auto"/>
        </w:rPr>
      </w:pPr>
      <w:r>
        <w:rPr>
          <w:rFonts w:ascii="Arial" w:cs="Arial" w:eastAsia="Arial" w:hAnsi="Arial"/>
          <w:sz w:val="16"/>
          <w:szCs w:val="16"/>
          <w:color w:val="auto"/>
        </w:rPr>
        <w:t xml:space="preserve">There were no arrangements with the NEOs providing for annual cash bonus awards, other than pursuant to the employment agreement with Messrs. Ninivaggi and Kroll, see </w:t>
      </w:r>
      <w:r>
        <w:rPr>
          <w:rFonts w:ascii="Arial" w:cs="Arial" w:eastAsia="Arial" w:hAnsi="Arial"/>
          <w:sz w:val="16"/>
          <w:szCs w:val="16"/>
          <w:i w:val="1"/>
          <w:iCs w:val="1"/>
          <w:color w:val="auto"/>
        </w:rPr>
        <w:t>“Agreement with Daniel A. Ninivaggi”</w:t>
      </w:r>
      <w:r>
        <w:rPr>
          <w:rFonts w:ascii="Arial" w:cs="Arial" w:eastAsia="Arial" w:hAnsi="Arial"/>
          <w:sz w:val="16"/>
          <w:szCs w:val="16"/>
          <w:color w:val="auto"/>
        </w:rPr>
        <w:t xml:space="preserve"> and </w:t>
      </w:r>
      <w:r>
        <w:rPr>
          <w:rFonts w:ascii="Arial" w:cs="Arial" w:eastAsia="Arial" w:hAnsi="Arial"/>
          <w:sz w:val="16"/>
          <w:szCs w:val="16"/>
          <w:i w:val="1"/>
          <w:iCs w:val="1"/>
          <w:color w:val="auto"/>
        </w:rPr>
        <w:t>“Agreement with Adam Kroll”</w:t>
      </w:r>
      <w:r>
        <w:rPr>
          <w:rFonts w:ascii="Arial" w:cs="Arial" w:eastAsia="Arial" w:hAnsi="Arial"/>
          <w:sz w:val="16"/>
          <w:szCs w:val="16"/>
          <w:color w:val="auto"/>
        </w:rPr>
        <w:t xml:space="preserve"> below. Ms. Ritson-Parsons received a signing bonus as described under “</w:t>
      </w:r>
      <w:r>
        <w:rPr>
          <w:rFonts w:ascii="Arial" w:cs="Arial" w:eastAsia="Arial" w:hAnsi="Arial"/>
          <w:sz w:val="16"/>
          <w:szCs w:val="16"/>
          <w:i w:val="1"/>
          <w:iCs w:val="1"/>
          <w:color w:val="auto"/>
        </w:rPr>
        <w:t>Agreement with Jane Ritson-Parsons</w:t>
      </w:r>
      <w:r>
        <w:rPr>
          <w:rFonts w:ascii="Arial" w:cs="Arial" w:eastAsia="Arial" w:hAnsi="Arial"/>
          <w:sz w:val="16"/>
          <w:szCs w:val="16"/>
          <w:color w:val="auto"/>
        </w:rPr>
        <w:t>”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RSU Awards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February 2021, the Compensation Committee granted stock options under our 2020 Plan to each of the Named Executive Officers serving at that time. The stock options have an exercise price of $26.77 and vest 25% on the one year anniversary of grant and then quarterly thereafter in equal increments ending on the fourth anniversary of the grant date, subject to the Named Executive Officer’s continued employment through each vesting date.</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2021, the Compensation Committee granted RSUs to each of the Named Executive Officers serving at that time for purposes of retaining and incentivizing the management team through the change in senior leadership. The RSUs vest in three equal annual installments beginning on the first anniversary of the grant date, subject to the Named Executive Officer’s continued employment through each vesting date.</w:t>
      </w:r>
    </w:p>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addition to the awards granted in February and June, certain awards were made in connection with new hires and changes in individual responsibilities as well as for purposes of retention.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Named Executive Officers have been provided benefits on the same basis as all of our employees, including health, dental and vision insurance; life insurance; accidental death and dismemberment insurance; short- and long-term disability insurance; a health savings account; and a tax- qualified Section 40l(k) plan for which only a safe harbor matching contribution is provided. We do not maintain any executive-specific benefit or perquisite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the Named Executive Officers</w:t>
      </w:r>
    </w:p>
    <w:p>
      <w:pPr>
        <w:spacing w:after="0" w:line="225"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Lordstown entered into employment agreements with each of the Company’s Named Executive Officers as outlined below. Each such employment agreement contains certain terms that are common for each current Named Executive Officer, which are described under the heading Common Employment Agreement Terms. Under subsequent headings for each Named Executive Officer are the details of the employment agreement entered into by such Named Executive Officer.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Common Employment Agreement Terms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a Named Executive Officer’s employment is terminated by the Company in the event of a “termination upon change of control” or without “cause” or by such Named Executive Officer for “good reason” (as each term is defined in the applicable employment agreement), such Named Executive Officer would be entitled to receive, subject to his or her execution and non-revocation of a general release of claims, an amount equal to a certain number of months’ base salary, accelerated vesting of all outstanding and unvested equity awards, as detailed below. In addition, if such Named Executive Officer’s employment is terminated for any reason other than (i) “cause” or (ii) such Named Executive Officer’s resignation without “good reason,” such Named Executive Officer is entitled to receive any actual bonus earned but unpaid as of the date of termination and a prorated target bonus for the year of termination. The employment agreements with the Named Executive Officers also contain certain restrictive covenants, including (i) perpetual confidentiality and non-disparagement covenants, (ii) an assignment of inventions covenant and (iii) non- competition and customer and employee non-solicitation covenants for the two-year period following any termination of employment.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 with Daniel A. Ninivaggi</w:t>
      </w:r>
    </w:p>
    <w:p>
      <w:pPr>
        <w:spacing w:after="0" w:line="22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Mr. Ninivaggi entered into an employment agreement with the Company to serve as its Chief Executive Officer as of August 26, 2021, which was amended on November 9, 2021 to voluntarily reduce his base salary from $750,000. Mr. Ninivaggi’s current annual base salary is $675,000 with an annual bonus target equal to 125% of his base salary. He received a bonus for 2021 in an amount prorated for the period from August 26, 2021 through December 31, 2021, as provided by his agreement. Mr. Ninivaggi’s employment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agreement also provided for the grant of 700,000 stock options with an exercise price of $5.51 and 700,000 RSUs under the 2020 Plan. The awards vest equally on each of the first, second and third anniversary of the grant date, subject to continued employment through each vesting date. In the event of Mr. Ninivaggi’s death or disability, his unvested equity awards will vest pro rata based on the number of full and partial months served through such event. Mr. Ninivaggi’s severance amounts payable upon termination upon change of control, termination without cause or upon resignation for good reason following a change of control were set at 12 months’ base salary paid incrementally over a 12-month period and 12 months of continued health insurance coverage (in addition to the benefits described above).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 with Adam Kroll</w:t>
      </w:r>
    </w:p>
    <w:p>
      <w:pPr>
        <w:spacing w:after="0" w:line="229"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Mr. Kroll entered into an employment agreement with the Company to serve as its Chief Financial Officer as of October 25, 2021. Mr. Kroll’s current annual base salary is $450,000 with an annual bonus target of 80% of his base salary. He received a bonus for 2021 prorated from October 25, 2021 through December 31, 2021, as provided by his agreement. Mr. Kroll’s employment agreement also provided for the grant of 200,000 stock options with an exercise price of $4.78 and 250,000 RSUs under the 2020 Plan. The awards vest equally on each of the first, second and third anniversary of the grant date, subject to continued employment through each vesting date. In the event of Mr. Kroll’s death or disability, his unvested equity awards will vest pro rata based on the number of full and</w:t>
      </w:r>
    </w:p>
    <w:p>
      <w:pPr>
        <w:spacing w:after="0" w:line="4"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partial months served through such event. Mr. Kroll’s severance amounts payable upon termination upon change of control, termination without cause or upon resignation for “good reason” was set at eight months’ base salary plus $25,000 paid in 12 monthly installments. Upon termination for any reason other than (i) “cause” or (ii) Mr. Kroll’s resignation without “good reason,” he is entitled to receive any actual bonus earned but unpaid as of the date of termination and a prorated target bonus for the year of termination.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 with Jane Ritson-Parsons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Ms. Ritson-Parsons entered into an employment agreement with the Company to serve as its Executive Vice President — Chief Operating Officer as of June 18, 2021, which was amended, effective November 8, 2021, to reflect her current position as Executive Vice President — Chief Commercial Officer of the Company. Ms. Ritson-Parsons’ base salary is $400,000. Her employment agreement also provided for a signing bonus of $100,000, that is subject to recoupment by the Company if, within the first year of her employment, she terminates her employment with the Company other than for good reason or her employment is terminated by the Company for cause. Ms. Ritson-Parsons also received a grant of 350,000 RSUs under the 2020 Plan. The award vests equally on each of the first, second and third anniversary of the grant date, subject to continued employment through each vesting date. Ms. Ritson-Parsons is entitled to severance upon termination without cause or upon resignation for good reason for 6- months’ base salary paid incrementally over a 6-month period and 12 months of continued health insurance coverage.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 with Angela Strand</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Ms. Strand entered into an employment agreement with the Company to serve as Executive Chair of the Company, serving as the Company’s chief executive officer in an interim capacity on June 18, 2021 for a term of five months. Ms. Strand was entitled to a base salary of $100,000 per month. If Ms. Strand’s employment was terminated by the Company without cause, she was entitled to any unpaid portion of her salary for the remainder of the term. Ms. Strand’s agreement also provided for the grant of 50,000 RSUs under the 2020 Plan. The award vested in full upon the end of her employment term, and if her employment was terminated by the Company without cause, the RSUs vested upon termination. Ms. Strand was not eligible to participate in any other benefit plans and arrangements made available to senior executives of the Company.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 with Chuan D. (John) Vo</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Mr. Vo entered into an employment agreement with the Company to serve as its Vice President of Propulsion, dated July 1, 2021, as amended on December 7, 2021. Mr. Vo’s base salary was $350,000. If Mr. Vo’s employment was terminated by the Company without cause, Mr. Vo was entitled to receive the continuation of his base salary through June 30, 2022. Mr. Vo’s agreement also provided for the grant of 200,000 RSUs under the 2020 Plan, vesting in full upon the successful launch of the Endurance for general commercial sale to third parties provided that such launch occurred before July 22, 2022, subject to forfeiture of 50,000 RSUs per week for each week (or portion thereof) after July 22, 2022 that such launch was delayed. In addition, Mr. Vo’s agreement provided that all stock options granted to Mr. Vo by the Company prior to December 7, 2021 that were unvested, would vest on the earlier of (i) the closing of the Asset Purchase Agreement and (ii) June 30, 2022 (such earlier date, the “Determination Date”), subject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Mr. Vo’s continued employment through the Determination Date. Upon Mr. Vo’s departure from the Company on February 25, 2022, all RSUs that had not yet vested were cancelled pursuant to the 2020 Plan. Mr. Vo had 30 days from his departure date to exercise stock options that were vested as of such date pursuant to the 2019 Plan, and Mr. Vo has three months from his departure date to exercise stock options that were vested as of such date and all options that had not yet vested were cancelled pursuant to the 2020 Plan.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 with Thomas V. Canepa</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Mr. Canepa’s employment agreement provided for a base salary of $250,000, which was increased to $400,000 in December 2020. Mr. Canepa resigned from all offices with the Company pursuant to a second amendment to his employment agreement with the Company effective December 17, 2021. He remained with the Company as non-executive senior counsel to provide transitional services through January 31, 2022. Pursuant to his amended employment agreement, in exchange for a general release, Mr. Canepa received payment for unused vacation and six months of severance to be paid as a continuation of Mr. Canepa’s annual base salary and continued health insurance coverage, up to a maximum of $1,500 per month. Under the third amendment to his employment agreement entered into on January 28, 2022, Mr. Canepa is entitled to exercise any vested stock options for 90 days after the end of his employment with the Company and Mr. Canepa agreed to a two month non-solicitation period.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Agreements with Stephen S. Burns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Mr. Burns resigned from all roles with the Company effective June 13, 2021. In connection with his resignation, the Company and Mr. Burns entered into a Separation and Release Agreement. That agreement provides for continued base salary payments for a period of 18 months in the aggregate amount of $750,000. The foregoing benefits were subject to Mr. Burns’ execution and non-revocation of a general release of claims in favor of the Company and remain subject to ongoing compliance with the restrictive covenants set forth in his employment agreement with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 provides a tax-qualified Section 401(k) plan for all employees, including the NEOs. The Section 401(k) plan provides for safe harbor matching contributions for participants’ elective contributions to the 401(k) plan and for discretionary profit-sharing contributions to participants who satisfy the eligibility requirements under the Section 401(k) plan. The Company does not provide to employees, including its NEOs, any other retirement benefits, including, but not limited to, tax-qualified defined benefit plans, supplemental executive retirement plans and nonqualified defined contribution plans.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Year End</w:t>
      </w:r>
    </w:p>
    <w:p>
      <w:pPr>
        <w:spacing w:after="0" w:line="22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Stock Awards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plan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Market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or units</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value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stock</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that</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or units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 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(1),</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have</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of 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 or other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exercise</w:t>
            </w: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not</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8"/>
        </w:trPr>
        <w:tc>
          <w:tcPr>
            <w:tcW w:w="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Grant date</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expiration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vested</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vested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have</w:t>
            </w:r>
          </w:p>
        </w:tc>
        <w:tc>
          <w:tcPr>
            <w:tcW w:w="0" w:type="dxa"/>
            <w:vAlign w:val="bottom"/>
          </w:tcPr>
          <w:p>
            <w:pPr>
              <w:spacing w:after="0"/>
              <w:rPr>
                <w:sz w:val="1"/>
                <w:szCs w:val="1"/>
                <w:color w:val="auto"/>
              </w:rPr>
            </w:pPr>
          </w:p>
        </w:tc>
      </w:tr>
      <w:tr>
        <w:trPr>
          <w:trHeight w:val="171"/>
        </w:trPr>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exercisable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unexercisable</w:t>
            </w:r>
          </w:p>
        </w:tc>
        <w:tc>
          <w:tcPr>
            <w:tcW w:w="120" w:type="dxa"/>
            <w:vAlign w:val="bottom"/>
          </w:tcPr>
          <w:p>
            <w:pPr>
              <w:spacing w:after="0"/>
              <w:rPr>
                <w:sz w:val="14"/>
                <w:szCs w:val="14"/>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 (1)</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vested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23"/>
        </w:trPr>
        <w:tc>
          <w:tcPr>
            <w:tcW w:w="9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Daniel A.</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Ninivaggi</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8/26/21</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8/26/31</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8/26/21</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2,415,000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960" w:type="dxa"/>
            <w:vAlign w:val="bottom"/>
          </w:tcPr>
          <w:p>
            <w:pPr>
              <w:spacing w:after="0" w:line="157" w:lineRule="exact"/>
              <w:rPr>
                <w:sz w:val="20"/>
                <w:szCs w:val="20"/>
                <w:color w:val="auto"/>
              </w:rPr>
            </w:pPr>
            <w:r>
              <w:rPr>
                <w:rFonts w:ascii="Arial" w:cs="Arial" w:eastAsia="Arial" w:hAnsi="Arial"/>
                <w:sz w:val="14"/>
                <w:szCs w:val="14"/>
                <w:color w:val="auto"/>
              </w:rPr>
              <w:t>Adam Kroll</w:t>
            </w:r>
          </w:p>
        </w:tc>
        <w:tc>
          <w:tcPr>
            <w:tcW w:w="10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10/13/21</w:t>
            </w:r>
          </w:p>
        </w:tc>
        <w:tc>
          <w:tcPr>
            <w:tcW w:w="4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5.12</w:t>
            </w:r>
          </w:p>
        </w:tc>
        <w:tc>
          <w:tcPr>
            <w:tcW w:w="16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10/13/31</w:t>
            </w:r>
          </w:p>
        </w:tc>
        <w:tc>
          <w:tcPr>
            <w:tcW w:w="160" w:type="dxa"/>
            <w:vAlign w:val="bottom"/>
          </w:tcPr>
          <w:p>
            <w:pPr>
              <w:spacing w:after="0"/>
              <w:rPr>
                <w:sz w:val="13"/>
                <w:szCs w:val="13"/>
                <w:color w:val="auto"/>
              </w:rPr>
            </w:pPr>
          </w:p>
        </w:tc>
        <w:tc>
          <w:tcPr>
            <w:tcW w:w="9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10/13/21</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862,500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Jane Ritson-</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Parsons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6/13/21</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1,207,500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960" w:type="dxa"/>
            <w:vAlign w:val="bottom"/>
          </w:tcPr>
          <w:p>
            <w:pPr>
              <w:spacing w:after="0" w:line="157" w:lineRule="exact"/>
              <w:rPr>
                <w:sz w:val="20"/>
                <w:szCs w:val="20"/>
                <w:color w:val="auto"/>
              </w:rPr>
            </w:pPr>
            <w:r>
              <w:rPr>
                <w:rFonts w:ascii="Arial" w:cs="Arial" w:eastAsia="Arial" w:hAnsi="Arial"/>
                <w:sz w:val="14"/>
                <w:szCs w:val="14"/>
                <w:color w:val="auto"/>
              </w:rPr>
              <w:t>Angela Strand</w:t>
            </w:r>
          </w:p>
        </w:tc>
        <w:tc>
          <w:tcPr>
            <w:tcW w:w="10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2/5/21</w:t>
            </w:r>
          </w:p>
        </w:tc>
        <w:tc>
          <w:tcPr>
            <w:tcW w:w="4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6,164</w:t>
            </w:r>
          </w:p>
        </w:tc>
        <w:tc>
          <w:tcPr>
            <w:tcW w:w="160" w:type="dxa"/>
            <w:vAlign w:val="bottom"/>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21,266</w:t>
            </w:r>
          </w:p>
        </w:tc>
        <w:tc>
          <w:tcPr>
            <w:tcW w:w="16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2/5/21</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6,164</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21,266</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6/13/21</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Stephen 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Burns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960" w:type="dxa"/>
            <w:vAlign w:val="bottom"/>
          </w:tcPr>
          <w:p>
            <w:pPr>
              <w:spacing w:after="0" w:line="130" w:lineRule="exact"/>
              <w:rPr>
                <w:sz w:val="20"/>
                <w:szCs w:val="20"/>
                <w:color w:val="auto"/>
              </w:rPr>
            </w:pPr>
            <w:r>
              <w:rPr>
                <w:rFonts w:ascii="Arial" w:cs="Arial" w:eastAsia="Arial" w:hAnsi="Arial"/>
                <w:sz w:val="14"/>
                <w:szCs w:val="14"/>
                <w:color w:val="auto"/>
              </w:rPr>
              <w:t>Thomas V.</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140"/>
              <w:spacing w:after="0"/>
              <w:rPr>
                <w:sz w:val="20"/>
                <w:szCs w:val="20"/>
                <w:color w:val="auto"/>
              </w:rPr>
            </w:pPr>
            <w:r>
              <w:rPr>
                <w:rFonts w:ascii="Arial" w:cs="Arial" w:eastAsia="Arial" w:hAnsi="Arial"/>
                <w:sz w:val="14"/>
                <w:szCs w:val="14"/>
                <w:color w:val="auto"/>
              </w:rPr>
              <w:t>Canepa</w:t>
            </w:r>
          </w:p>
        </w:tc>
        <w:tc>
          <w:tcPr>
            <w:tcW w:w="1500" w:type="dxa"/>
            <w:vAlign w:val="bottom"/>
            <w:gridSpan w:val="4"/>
          </w:tcPr>
          <w:p>
            <w:pPr>
              <w:jc w:val="right"/>
              <w:ind w:right="8"/>
              <w:spacing w:after="0"/>
              <w:rPr>
                <w:sz w:val="20"/>
                <w:szCs w:val="20"/>
                <w:color w:val="auto"/>
              </w:rPr>
            </w:pPr>
            <w:r>
              <w:rPr>
                <w:rFonts w:ascii="Arial" w:cs="Arial" w:eastAsia="Arial" w:hAnsi="Arial"/>
                <w:sz w:val="14"/>
                <w:szCs w:val="14"/>
                <w:color w:val="auto"/>
              </w:rPr>
              <w:t>11/1/19 (8)(9)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702,703</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11/1/29</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500" w:type="dxa"/>
            <w:vAlign w:val="bottom"/>
            <w:gridSpan w:val="4"/>
          </w:tcPr>
          <w:p>
            <w:pPr>
              <w:jc w:val="right"/>
              <w:ind w:right="8"/>
              <w:spacing w:after="0"/>
              <w:rPr>
                <w:sz w:val="20"/>
                <w:szCs w:val="20"/>
                <w:color w:val="auto"/>
              </w:rPr>
            </w:pPr>
            <w:r>
              <w:rPr>
                <w:rFonts w:ascii="Arial" w:cs="Arial" w:eastAsia="Arial" w:hAnsi="Arial"/>
                <w:sz w:val="14"/>
                <w:szCs w:val="14"/>
                <w:color w:val="auto"/>
              </w:rPr>
              <w:t>2/14/20 (8)(9)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81,386</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2/13/30</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2/5/21</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18,500</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26.77</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2/4/31</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6/13/21</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690,000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Chuan D. (John)</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Vo</w:t>
            </w: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2/14/20 (8)(12)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74,433</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2/13/30</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6/13/21</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12/7/21</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w w:val="95"/>
              </w:rPr>
              <w:t>(1)(15)</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9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of stock by the closing market price of our Common Stock on December 31, 2021, the last business day of fiscal year 2021 ($3.45).</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Mr. Ninivaggi’s award of stock options and RSUs vest in three equal annual installments beginning on August 26, 2022, subject to Mr. Ninivaggi’s continued employment through each vesting date.</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Mr. Kroll’s award of stock options and RSUs vest in three equal annual installments beginning on October 13, 2022, subject to Mr. Kroll’s continued employment through each vesting date.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RSUs vest in three equal annual installments beginning on June 13, 2022, subject to Ms. Ritson-Parsons’ continued employment through each vesting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RSUs vest in three equal annual installments beginning on February 5, 2022, subject to Ms. Strand’s continued service.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RSUs vested in full on February 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RSUs vested as of the end of Ms. Strand’s term as Executive Chair on August 26, 2021 and were settled in January 2022 per the terms of her agreement.</w:t>
      </w:r>
    </w:p>
    <w:p>
      <w:pPr>
        <w:spacing w:after="0" w:line="170" w:lineRule="exact"/>
        <w:rPr>
          <w:rFonts w:ascii="Arial" w:cs="Arial" w:eastAsia="Arial" w:hAnsi="Arial"/>
          <w:sz w:val="18"/>
          <w:szCs w:val="18"/>
          <w:color w:val="auto"/>
        </w:rPr>
      </w:pPr>
    </w:p>
    <w:p>
      <w:pPr>
        <w:jc w:val="both"/>
        <w:ind w:left="340" w:right="10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option originally covered shares of Legacy Lordstown common stock, and in connection with the Business Combination, was converted into an Exchanged Option on the same terms applicable to the option immediately prior to being converted, as described in more detail above under “</w:t>
      </w:r>
      <w:r>
        <w:rPr>
          <w:rFonts w:ascii="Arial" w:cs="Arial" w:eastAsia="Arial" w:hAnsi="Arial"/>
          <w:sz w:val="17"/>
          <w:szCs w:val="17"/>
          <w:i w:val="1"/>
          <w:iCs w:val="1"/>
          <w:color w:val="auto"/>
        </w:rPr>
        <w:t>Narrative Disclosure to Summary Compensation Table — Stock Option Awards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340" w:right="6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stock options vested in full and became exercisable on November 1, 2021. Upon Mr. Canepa’s departure from the Company on January 31, 2022, Mr. Canepa had 90 days from his departure date to exercise the options that were vested as of such date pursuant to the terms of the 2019 Plan.</w:t>
      </w:r>
    </w:p>
    <w:p>
      <w:pPr>
        <w:spacing w:after="0" w:line="183" w:lineRule="exact"/>
        <w:rPr>
          <w:rFonts w:ascii="Arial" w:cs="Arial" w:eastAsia="Arial" w:hAnsi="Arial"/>
          <w:sz w:val="18"/>
          <w:szCs w:val="18"/>
          <w:color w:val="auto"/>
        </w:rPr>
      </w:pPr>
    </w:p>
    <w:p>
      <w:pPr>
        <w:ind w:left="340" w:right="10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stock options vested in an amount equal to 25% of the total number of shares subject to these options on February 5, 2022, and the remainder were to vest quarterly ending on February 5, 2025. Upon Mr. Canepa’s departure from the Company on January 31, 2022, all options that had not yet vested were cancelled pursuant to the terms of the 2020 Plan.</w:t>
      </w:r>
    </w:p>
    <w:p>
      <w:pPr>
        <w:spacing w:after="0" w:line="165" w:lineRule="exact"/>
        <w:rPr>
          <w:rFonts w:ascii="Arial" w:cs="Arial" w:eastAsia="Arial" w:hAnsi="Arial"/>
          <w:sz w:val="17"/>
          <w:szCs w:val="17"/>
          <w:color w:val="auto"/>
        </w:rPr>
      </w:pPr>
    </w:p>
    <w:p>
      <w:pPr>
        <w:ind w:left="340" w:right="50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RSUs were to vest in three equal annual installments beginning on June 13, 2022. Upon Mr. Canepa’s departure from the Company on January 31, 2022, all RSUs that had not yet vested were cancelled pursuant to the terms of the 2020 Plan.</w:t>
      </w:r>
    </w:p>
    <w:p>
      <w:pPr>
        <w:spacing w:after="0" w:line="123"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stock options became vested and became exercisable on February 24, 2022. Upon Mr. Vo’s departure from the Company on February 25, 2022, Mr. Vo had 30 days from his departure date to exercise stock options that were vested as of such date pursuant to the terms of the 2019 Plan.</w:t>
      </w:r>
    </w:p>
    <w:p>
      <w:pPr>
        <w:spacing w:after="0" w:line="183"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stock options vested in an amount equal to 25% of the total number of shares subject to these options on February 5, 2022, and the remainder were to vest quarterly ending on February 5, 2025. Upon Mr. Vo’s departure from the Company on February 25, 2022, Mr. Vo has three months from his departure date to exercise stock options that were vested as of such date and all options that had not yet vested were cancelled pursuant to the terms of the 2020 Plan.</w:t>
      </w:r>
    </w:p>
    <w:p>
      <w:pPr>
        <w:spacing w:after="0" w:line="186"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RSUs were to vest in three equal annual installments beginning on June 13, 2021. Upon Mr. Vo’s departure from the Company on February 25, 2022, all RSUs that had not yet vested were cancelled pursuant to the terms of the 2020 Plan.</w:t>
      </w:r>
    </w:p>
    <w:p>
      <w:pPr>
        <w:spacing w:after="0" w:line="146" w:lineRule="exact"/>
        <w:rPr>
          <w:rFonts w:ascii="Arial" w:cs="Arial" w:eastAsia="Arial" w:hAnsi="Arial"/>
          <w:sz w:val="17"/>
          <w:szCs w:val="17"/>
          <w:color w:val="auto"/>
        </w:rPr>
      </w:pPr>
    </w:p>
    <w:p>
      <w:pPr>
        <w:ind w:left="340" w:right="80" w:hanging="332"/>
        <w:spacing w:after="0" w:line="273"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RSUs vest in full upon the successful launch of the Endurance for general commercial sale to third parties provided that such launch occurred on or before July 22, 2022. For each week (or portion of a week) after July 22, 2022 that such launch is delayed, 50,000 RSUs were to be forfeited by Mr. Vo. The number of RSUs reflected in the table assumes full vesting under the applicable RSU award. Upon Mr. Vo’s departure from the Company on February 25, 2022, all RSUs that had not yet vested were cancelled pursuant to the terms of the 2020 Plan. For purposes of valuation of these RSUs, the Company assigned a 25% probability as of the grant date that such shares would vest in full.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2021, non-employee directors receive a combination of cash and equity compensation. The cash compensation consists of:</w:t>
      </w:r>
    </w:p>
    <w:p>
      <w:pPr>
        <w:spacing w:after="0" w:line="23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Retainer: $50,000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Lead Independent Director Annual Compensation: $27,500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Committee Chairperson Annual Cash Retainer:</w:t>
      </w:r>
    </w:p>
    <w:p>
      <w:pPr>
        <w:spacing w:after="0" w:line="225" w:lineRule="exact"/>
        <w:rPr>
          <w:rFonts w:ascii="Arial" w:cs="Arial" w:eastAsia="Arial" w:hAnsi="Arial"/>
          <w:sz w:val="18"/>
          <w:szCs w:val="18"/>
          <w:color w:val="auto"/>
        </w:rPr>
      </w:pPr>
    </w:p>
    <w:p>
      <w:pPr>
        <w:ind w:left="1340" w:hanging="333"/>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Audit Committee: $15,000</w:t>
      </w:r>
    </w:p>
    <w:p>
      <w:pPr>
        <w:spacing w:after="0" w:line="225" w:lineRule="exact"/>
        <w:rPr>
          <w:rFonts w:ascii="Arial" w:cs="Arial" w:eastAsia="Arial" w:hAnsi="Arial"/>
          <w:sz w:val="18"/>
          <w:szCs w:val="18"/>
          <w:color w:val="auto"/>
        </w:rPr>
      </w:pPr>
    </w:p>
    <w:p>
      <w:pPr>
        <w:ind w:left="1340" w:hanging="333"/>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Compensation Committee: $12,000</w:t>
      </w:r>
    </w:p>
    <w:p>
      <w:pPr>
        <w:spacing w:after="0" w:line="225" w:lineRule="exact"/>
        <w:rPr>
          <w:rFonts w:ascii="Arial" w:cs="Arial" w:eastAsia="Arial" w:hAnsi="Arial"/>
          <w:sz w:val="18"/>
          <w:szCs w:val="18"/>
          <w:color w:val="auto"/>
        </w:rPr>
      </w:pPr>
    </w:p>
    <w:p>
      <w:pPr>
        <w:ind w:left="1340" w:hanging="333"/>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Nominating &amp; Corporate Governance Committee: $10,000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Committee Member Annual Cash Retainer: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225" w:lineRule="exact"/>
        <w:rPr>
          <w:rFonts w:ascii="Arial" w:cs="Arial" w:eastAsia="Arial" w:hAnsi="Arial"/>
          <w:sz w:val="18"/>
          <w:szCs w:val="18"/>
          <w:color w:val="auto"/>
        </w:rPr>
      </w:pPr>
    </w:p>
    <w:p>
      <w:pPr>
        <w:ind w:left="1340" w:hanging="333"/>
        <w:spacing w:after="0"/>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Compensation Committee: $6,500</w:t>
      </w:r>
    </w:p>
    <w:p>
      <w:pPr>
        <w:spacing w:after="0" w:line="225" w:lineRule="exact"/>
        <w:rPr>
          <w:rFonts w:ascii="Arial" w:cs="Arial" w:eastAsia="Arial" w:hAnsi="Arial"/>
          <w:sz w:val="18"/>
          <w:szCs w:val="18"/>
          <w:color w:val="auto"/>
        </w:rPr>
      </w:pPr>
    </w:p>
    <w:p>
      <w:pPr>
        <w:ind w:left="1340" w:hanging="333"/>
        <w:spacing w:after="0"/>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Nominating &amp; Corporate Governance Committee: $5,000</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Non-employee directors also receive equity awards under the 2020 Plan. On February 5, 2021, each non-employee director received an initial grant of 6,164 RSUs, which vests in three equal annual installments on each anniversary of the grant date. In addition to the one-time initial grant, the non-employee directors receive an annual grant of RSUs having a value of $165,000 on the grant date based on the closing market price of the Common Stock on such date. The annual RSUs vest on the first anniversary of the grant date. On February 5, 2021, each non-employee director received an annual grant of 6,164 RSUs, which vested in full on February 5, 2022. Beginning with the 2022 Annual Meeting, the annual RSU grants will be made at each annual meeting such that the awards align with the period of service as a director. In connection with this transition, a pro rata grant of 15,937 RSUs, which had a value of $47,014, was made on February 5, 2022 for service during the period beginning February 5, 2022 and ending May 19, 2022. The RSUs vest on the date of the 2022 Annual Meeting.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Directors’ fees and other compensation for 2021 were:</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FEES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EARNED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STOCK</w:t>
            </w: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7"/>
              <w:spacing w:after="0" w:line="176" w:lineRule="exact"/>
              <w:rPr>
                <w:sz w:val="20"/>
                <w:szCs w:val="20"/>
                <w:color w:val="auto"/>
              </w:rPr>
            </w:pPr>
            <w:r>
              <w:rPr>
                <w:rFonts w:ascii="Arial" w:cs="Arial" w:eastAsia="Arial" w:hAnsi="Arial"/>
                <w:sz w:val="14"/>
                <w:szCs w:val="14"/>
                <w:b w:val="1"/>
                <w:bCs w:val="1"/>
                <w:color w:val="auto"/>
                <w:w w:val="96"/>
              </w:rPr>
              <w:t>CASH ($)</w:t>
            </w:r>
            <w:r>
              <w:rPr>
                <w:rFonts w:ascii="Arial" w:cs="Arial" w:eastAsia="Arial" w:hAnsi="Arial"/>
                <w:sz w:val="20"/>
                <w:szCs w:val="20"/>
                <w:b w:val="1"/>
                <w:bCs w:val="1"/>
                <w:color w:val="auto"/>
                <w:w w:val="96"/>
                <w:vertAlign w:val="superscript"/>
              </w:rPr>
              <w:t>(1)</w:t>
            </w:r>
          </w:p>
        </w:tc>
        <w:tc>
          <w:tcPr>
            <w:tcW w:w="140" w:type="dxa"/>
            <w:vAlign w:val="bottom"/>
          </w:tcPr>
          <w:p>
            <w:pPr>
              <w:spacing w:after="0"/>
              <w:rPr>
                <w:sz w:val="15"/>
                <w:szCs w:val="15"/>
                <w:color w:val="auto"/>
              </w:rPr>
            </w:pPr>
          </w:p>
        </w:tc>
        <w:tc>
          <w:tcPr>
            <w:tcW w:w="1240" w:type="dxa"/>
            <w:vAlign w:val="bottom"/>
            <w:gridSpan w:val="3"/>
          </w:tcPr>
          <w:p>
            <w:pPr>
              <w:jc w:val="center"/>
              <w:ind w:right="140"/>
              <w:spacing w:after="0" w:line="176" w:lineRule="exact"/>
              <w:rPr>
                <w:sz w:val="20"/>
                <w:szCs w:val="20"/>
                <w:color w:val="auto"/>
              </w:rPr>
            </w:pPr>
            <w:r>
              <w:rPr>
                <w:rFonts w:ascii="Arial" w:cs="Arial" w:eastAsia="Arial" w:hAnsi="Arial"/>
                <w:sz w:val="14"/>
                <w:szCs w:val="14"/>
                <w:b w:val="1"/>
                <w:bCs w:val="1"/>
                <w:color w:val="auto"/>
                <w:w w:val="93"/>
              </w:rPr>
              <w:t>AWARDS ($)</w:t>
            </w:r>
            <w:r>
              <w:rPr>
                <w:rFonts w:ascii="Arial" w:cs="Arial" w:eastAsia="Arial" w:hAnsi="Arial"/>
                <w:sz w:val="20"/>
                <w:szCs w:val="20"/>
                <w:b w:val="1"/>
                <w:bCs w:val="1"/>
                <w:color w:val="auto"/>
                <w:w w:val="93"/>
                <w:vertAlign w:val="superscript"/>
              </w:rPr>
              <w:t>(2)</w:t>
            </w:r>
          </w:p>
        </w:tc>
        <w:tc>
          <w:tcPr>
            <w:tcW w:w="1220" w:type="dxa"/>
            <w:vAlign w:val="bottom"/>
          </w:tcPr>
          <w:p>
            <w:pPr>
              <w:ind w:left="2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T. Hamamoto</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401,413</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Keith Feldman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80,982</w:t>
            </w:r>
          </w:p>
        </w:tc>
        <w:tc>
          <w:tcPr>
            <w:tcW w:w="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tcPr>
          <w:p>
            <w:pPr>
              <w:spacing w:after="0"/>
              <w:rPr>
                <w:sz w:val="18"/>
                <w:szCs w:val="18"/>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410,982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Jane Reiss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71,803</w:t>
            </w:r>
          </w:p>
        </w:tc>
        <w:tc>
          <w:tcPr>
            <w:tcW w:w="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401,803</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Dale Spencer</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74,619</w:t>
            </w:r>
          </w:p>
        </w:tc>
        <w:tc>
          <w:tcPr>
            <w:tcW w:w="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tcPr>
          <w:p>
            <w:pPr>
              <w:spacing w:after="0"/>
              <w:rPr>
                <w:sz w:val="18"/>
                <w:szCs w:val="18"/>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404,619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Michael Gates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66,823</w:t>
            </w:r>
          </w:p>
        </w:tc>
        <w:tc>
          <w:tcPr>
            <w:tcW w:w="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396,823</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Angela Strand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68,025</w:t>
            </w:r>
          </w:p>
        </w:tc>
        <w:tc>
          <w:tcPr>
            <w:tcW w:w="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tcPr>
          <w:p>
            <w:pPr>
              <w:spacing w:after="0"/>
              <w:rPr>
                <w:sz w:val="18"/>
                <w:szCs w:val="18"/>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398,025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Martin J. Rucidlo</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72,070</w:t>
            </w:r>
          </w:p>
        </w:tc>
        <w:tc>
          <w:tcPr>
            <w:tcW w:w="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402,070</w:t>
            </w:r>
          </w:p>
        </w:tc>
        <w:tc>
          <w:tcPr>
            <w:tcW w:w="0" w:type="dxa"/>
            <w:vAlign w:val="bottom"/>
          </w:tcPr>
          <w:p>
            <w:pPr>
              <w:spacing w:after="0"/>
              <w:rPr>
                <w:sz w:val="1"/>
                <w:szCs w:val="1"/>
                <w:color w:val="auto"/>
              </w:rPr>
            </w:pPr>
          </w:p>
        </w:tc>
      </w:tr>
      <w:tr>
        <w:trPr>
          <w:trHeight w:val="353"/>
        </w:trPr>
        <w:tc>
          <w:tcPr>
            <w:tcW w:w="2860" w:type="dxa"/>
            <w:vAlign w:val="bottom"/>
          </w:tcPr>
          <w:p>
            <w:pPr>
              <w:spacing w:after="0"/>
              <w:rPr>
                <w:sz w:val="20"/>
                <w:szCs w:val="20"/>
                <w:color w:val="auto"/>
              </w:rPr>
            </w:pPr>
            <w:r>
              <w:rPr>
                <w:rFonts w:ascii="Arial" w:cs="Arial" w:eastAsia="Arial" w:hAnsi="Arial"/>
                <w:sz w:val="18"/>
                <w:szCs w:val="18"/>
                <w:color w:val="auto"/>
              </w:rPr>
              <w:t>Mick Kowitz</w:t>
            </w:r>
            <w:r>
              <w:rPr>
                <w:rFonts w:ascii="Arial" w:cs="Arial" w:eastAsia="Arial" w:hAnsi="Arial"/>
                <w:sz w:val="26"/>
                <w:szCs w:val="26"/>
                <w:color w:val="auto"/>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46,674</w:t>
            </w:r>
          </w:p>
        </w:tc>
        <w:tc>
          <w:tcPr>
            <w:tcW w:w="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5" w:lineRule="exact"/>
        <w:rPr>
          <w:sz w:val="20"/>
          <w:szCs w:val="20"/>
          <w:color w:val="auto"/>
        </w:rPr>
      </w:pPr>
    </w:p>
    <w:p>
      <w:pPr>
        <w:ind w:left="340" w:right="1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fees earned in part for the fiscal year ended December 31, 2020 paid in arrears, and (ii) fees earned for the fiscal year ended December 31, 2021.</w:t>
      </w:r>
    </w:p>
    <w:p>
      <w:pPr>
        <w:spacing w:after="0" w:line="170"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an initial grant of RSUs granted on February 5, 2021 of 6,164 RSUs vesting in three equal annual installments on each anniversary of the grant date, and (ii) and annual grant of RSUs granted on February 5, 2021 of 6,164 RSUs vested in full on February 5, 2022. Ms. Reiss and Mr. Spencer each also held options to purchase 139,704 shares of Common Stock as of December 31, 2021.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Kowitz served as a director until his term ended in August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231F20"/>
        </w:rPr>
        <w:t>The following includes a summary of transactions since January 1, 2019 to which we have been a party, in which the amount involved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the section entitled “Executive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Our board of directors has adopted a written Related Party Transaction Policy that sets forth the following policies and procedures for the review and approval or ratification of Related Party Transactions. A “Related Party Transaction” is a transaction, arrangement or relationship in which we or any of our subsidiaries was, is or will be a participant, the amount of which exceeds $120,000 and in which any related person had, has or will have a direct or indirect material interest. A “Related Party” means:</w:t>
      </w:r>
    </w:p>
    <w:p>
      <w:pPr>
        <w:spacing w:after="0" w:line="157" w:lineRule="exact"/>
        <w:rPr>
          <w:sz w:val="20"/>
          <w:szCs w:val="20"/>
          <w:color w:val="auto"/>
        </w:rPr>
      </w:pPr>
    </w:p>
    <w:p>
      <w:pPr>
        <w:ind w:left="680" w:right="20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a member of our board of directors;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Class A common stock;</w:t>
      </w:r>
    </w:p>
    <w:p>
      <w:pPr>
        <w:spacing w:after="0" w:line="225" w:lineRule="exact"/>
        <w:rPr>
          <w:rFonts w:ascii="Arial" w:cs="Arial" w:eastAsia="Arial" w:hAnsi="Arial"/>
          <w:sz w:val="18"/>
          <w:szCs w:val="18"/>
          <w:color w:val="auto"/>
        </w:rPr>
      </w:pPr>
    </w:p>
    <w:p>
      <w:pPr>
        <w:ind w:left="680" w:right="20" w:hanging="321"/>
        <w:spacing w:after="0" w:line="301"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Class A common stock, and any person (other than a tenant or employee) sharing the household of such director, executive officer or beneficial owner of more than 5% of our Class A common stock; or</w:t>
      </w:r>
    </w:p>
    <w:p>
      <w:pPr>
        <w:spacing w:after="0" w:line="157" w:lineRule="exact"/>
        <w:rPr>
          <w:rFonts w:ascii="Arial" w:cs="Arial" w:eastAsia="Arial" w:hAnsi="Arial"/>
          <w:sz w:val="16"/>
          <w:szCs w:val="16"/>
          <w:color w:val="auto"/>
        </w:rPr>
      </w:pPr>
    </w:p>
    <w:p>
      <w:pPr>
        <w:ind w:left="680" w:right="6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audit committee is responsible for administering our Related Party Transaction Policy and reviews all relevant facts and circumstances of Related Party Transactions, including the terms of the transaction, the business purpose of the transaction, and benefits to the Company and to the relevant Related Party. The audit committee may approve the Related Party Transaction only if the audit committee determines in good faith that, under all circumstances, the transaction is in the best interests of the Company and its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entered into separate indemnification agreements with our directors and officers, in addition to the indemnification provided for in the Charter and the Bylaws.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Investment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our entry into the Business Combination Agreement, we entered into separate Subscription Agreements, each dated as of August 1, 2020, with certain investors including GM and the Anchor Investor, pursuant to which, among other things, we agreed to issue and sell in a private placement up to an aggregate of 50,000,000 shares of Class A common stock, for a purchase price of $10.00 per share, and aggregate consideration of up to $500.0 million. The proceeds from the PIPE Investment will be used to provide us with additional capital.</w:t>
      </w:r>
    </w:p>
    <w:p>
      <w:pPr>
        <w:spacing w:after="0" w:line="18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applicable purchase price under the Subscription Agreements was payable in cash with respect to each of the investors except that the $75.0 million purchase price payable by GM consisted of certain in-kind consideration and a cash payment in an amount equal to the difference between the purchase price applicable to GM and the value of such in-kind consideration. Other than the foregoing,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terms of the Subscription Agreement entered into with GM are substantially identical to the terms of other Subscription Agreements. In exchange for the shares of Class A common stock, GM provided approximately $23.2 million in permits associated with the Lordstown Complex, as well as settlement of the GM Deferred Purchase Price Obligation (as defined below), the approximately $5.9 million due to GM for reimbursable operating costs pursuant to the terms of the Operating Agreement and the outstanding amount of approximately $5.0 million drawn on the GM Convertible Note (as defined below) including accrued and unpaid interest, and the remaining contribution in cash. The financing provided under the GM Convertible Note was terminated.</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fund affiliated with our Anchor Investor purchased 1,000,000 shares of Class A common stock for an aggregate purchase price of $10.0 million.</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Pursuant to the Subscription Agreements, we filed with the SEC (at our sole cost and expense) the registration statement of which this prospectus is a part (the “Resale Registration Statement”) registering the resale of the shares of Class A common stock issued thereunder, which became effective on December 4,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and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Registration Rights Agreement</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Pursuant to a registration rights agreement entered into on February 27, 2019, the holders of Class B common stock and Private Placement Warrants (and any shares of Class A common stock issuable upon conversion of the Class B common stock and exercise of such Warrants) were entitled to registration rights requiring us to register such securities for resale. The holders of the majority of these securities were entitled to make up to three demands, excluding short form demands, that we register such securities. In addition, the holders had certain “piggy-back” registration rights with respect to registration statements filed subsequent to the Closing and rights to require us to register for resale such securities pursuant to Rule 415 under the Securities Act. We were to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Effective as of the Closing, we entered into the Registration Rights and Lock-up Agreement with the Sponsor, the Anchor Investor, GM, Stephen S. Burns, Workhorse Group and BGL, pursuant to which we had certain obligations to file a registration statement registering the resale of the Class A common stock (including shares issuable upon future exercise of the Private Placement Warrants or the BGL Warrants) and the Private Placement Warrants held by the parties (the “Registrable Securities”). The Registration Rights and Lock-up Agreement amends, restates and replaces the registration rights agreement entered into on February 27, 2019 described above.</w:t>
      </w:r>
    </w:p>
    <w:p>
      <w:pPr>
        <w:spacing w:after="0" w:line="16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Registration Rights and Lock-up Agreement, we filed the Resale Registration Statement. We are obligated to facilitate or participate in no more than two underwritten offerings for any holder of Registrable Securities (and no more than four underwritten offerings for all such holders in the aggregate), provided the reasonably expected aggregate gross proceeds from each such underwritten offering must be at least $75.0 million.</w:t>
      </w:r>
    </w:p>
    <w:p>
      <w:pPr>
        <w:spacing w:after="0" w:line="18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In addition, the Registration Rights and Lock-up Agreement also provides the holders of Registrable Securities with “piggy-back” registration rights, subject to certain requirements and customary conditions. We will bear the expenses incurred in connection with the filing of any such registration statements.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Registration Rights and Lock-up Agreement provides that certain of our securities held by certain of the parties (including their permitted transferees) are locked-up as follows:</w:t>
      </w:r>
    </w:p>
    <w:p>
      <w:pPr>
        <w:spacing w:after="0" w:line="170" w:lineRule="exact"/>
        <w:rPr>
          <w:sz w:val="20"/>
          <w:szCs w:val="20"/>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shares of Class A common stock held by the Sponsor were locked-up until October 23, 2021;</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shares of Class A common stock held by GM, Workhorse Group and BGL were locked-up until April 23, 2021; and</w:t>
      </w:r>
    </w:p>
    <w:p>
      <w:pPr>
        <w:spacing w:after="0" w:line="23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shares of Class A common stock held by Stephen S. Burns were locked-up until October 23, 2021, and 50% of such shares will remain locked-up until October 23, 2022.</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lock-up restrictions provided in the Registration Rights and Lock-up Agreement did not apply to the Anchor Investor, which remained subject to the lockup provisions set forth in the Subscription Agreements entered into by it in connection with its acquisition of the Class B common stock and Private Placement Warrants and provided that its securities were subject to a lock-up until October 23, 2021.</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March 3, 2022, Mr. Burns beneficially owned Class A common stock representing approximately 17.9% of our outstanding shares and GM, Workhorse and the Anchor Investor no longer held any shares that were covered by the Registration Rights and Lock-Up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Workhorse Group Agreement</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November 7, 2019, we entered into a transaction with Workhorse Group for the purpose of obtaining the use of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Agreements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November 7, 2019, we entered into the GM Property Agreements providing for our acquisition of and the continued operation of the Lordstown Complex. The purchase price for the property was $20.0 million, plus interest accruing beginning on February 1, 2020 at a rate of 7.0% per year (the “GM Deferred Purchase Price Obligation”). The terms of the Operating Agreement provided that all expenses associated with the real property were to be paid by GM from November 2019 through February 2020 and subsequently reimbursed by us. We satisfied the GM Deferred Purchase Price Obligation and the expenses owed under the Operating Agreement in exchange for equity pursuant to the GM Subscription Agreement at the Closing.</w:t>
      </w:r>
    </w:p>
    <w:p>
      <w:pPr>
        <w:spacing w:after="0" w:line="17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May 28, 2020, we executed a convertible promissory note in favor of GM that provided additional financing to us of up to $10.0 million (the “GM Convertible Note”). We satisfied all amounts outstanding under the GM Convertible Note in exchange for equity pursuant to the GM Subscription Agreement at the Closing.</w:t>
      </w:r>
    </w:p>
    <w:p>
      <w:pPr>
        <w:spacing w:after="0" w:line="18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August 1, 2020, we entered into the GM Subscription Agreement as part of the PIPE Investment pursuant to which GM purchased, at the Closing, 7.5 million shares of Class A common stock in exchange for an in-kind and cash subscription price of an aggregate of $75.0 million. In exchange for the shares of Class A common stock, GM provided approximately $23.2 million in permits associated with the Lordstown Complex, as well as settlement of the GM Deferred Purchase Price Obligation, the approximately $5.9 million due to GM for reimbursable operating costs under the Operating Agreement and the outstanding amount of approximately $5.0 million drawn on the GM Convertible Note including accrued and unpaid interest, and the remaining contribution in cash. The financing provided under the GM Convertible Note was terminated.</w:t>
      </w:r>
    </w:p>
    <w:p>
      <w:pPr>
        <w:spacing w:after="0" w:line="17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Also on August 1, 2020, we entered into the Omnibus Agreement pursuant to which the parties agreed upon the treatment of certain arrangements between GM and us during the pendency of the Business Combination and upon the Closing. Pursuant to the Omnibus Agreement, GM’s repurchase option with respect to the Lordstown Complex terminated at Closing. GM also agreed to terminate various investment- related rights upon the Closing.</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12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April 3, 2020, we entered into an agreement under which GM provides us with access to certain non- customer-facing GM parts, including airbags, steering columns and steering wheels. This agreement was renewed for a term commencing on January 1, 2021 and ending on December 31, 2023.</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GM was determined not to be a related party as its ownership of Class A common stock did not reach 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DiamondPeak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of DiamondPeak Class B Common Stock</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November 2018, the Sponsor acquired 7,187,500 shares of Class B common stock for an aggregate purchase price of $25,000. Prior to the initial investment by the Sponsor, we had no assets, tangible or intangible. In February 2019, the Sponsor forfeited 812,500 shares of Class B common stock and the Anchor Investor purchased 812,500 shares of Class B common stock for an aggregate purchase price of approximately $3,000, or approximately $0.003 per share. As a result of the underwriters’ election to partially exercise their over-allotment option in connection with the Initial Public Offering, 187,500 shares of Class B common stock were forfeited.</w:t>
      </w:r>
    </w:p>
    <w:p>
      <w:pPr>
        <w:spacing w:after="0" w:line="16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Each of Judith A. Hannaway, Steven R. Hash and Andrew C. Richardson, who served as our independent directors prior to the Closing, received upon completion of the Business Combination 88,357 shares of Class B common stock from the Sponsor, which shares converted into 88,357 shares of Class A common stock.</w:t>
      </w:r>
    </w:p>
    <w:p>
      <w:pPr>
        <w:spacing w:after="0" w:line="184"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The shares of Class B common stock were identical to the shares of Class A common stock, except that the shares of Class B common stock automatically converted into shares of Class A common stock at the Closing and were subject to certain transfer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the Anchor Investor purchased an aggregate of 4,666,667 Private Placement Warrants at a price of $1.50 per Warrant, for an aggregate purchase price of $7.0 million. On March 18, 2019, in connection with the underwriters’ election to partially exercise their over-allotment option, we sold an additional 400,000 Private Placement Warrants to the Sponsor and the Anchor Investor, at a price of $1.50 per Warrant, generating additional gross proceeds of $600,000. Among the Private Placement Warrants, 4,460,000 Warrants were purchased by the Sponsor and 606,667 Warrants were purchased by the Anchor Investor. Each Private Placement Warrant entitles the holder to purchase one share of our Class A common stock at $11.50 per share.</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Private Placement Warrants are exercisable on a cashless basis and are non-redeemable for cash so long as they are held by the Sponsor, Anchor Investor or their permitted transferees. If the Private Placement Warrants are held by someone other than the Sponsor, Anchor Investor or their permitted transferees, the Private Placement Warrants will be redeemable by us and exercisable by such holders on the same basis as were the Public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 Related to Initial Public Offering</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Sponsor agreed to loan us up to $300,000 to be used for a portion of the expenses related to the Initial Public Offering. This loan was non-interest bearing and unsecured and was payable on the earlier of March 31, 2019 or the completion of the Initial Public Offering. The borrowings outstanding under such loan of $223,470 were repaid upon the consummation of the Initial Public Offering on March 4, 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agreed to pay our Sponsor a total of $10,000 per month for office space, utilities and secretarial and administrative support until the agreement terminated at completion of the Business Combination. For the year ended December 31, 2019, we incurred $100,000 in fees for these services. For the six months ended September 30, 2020 and 2019, we incurred $90,000 and $70,000, respectively, in fees for these services. As of September 30, 2020 and December 31, 2019, all such fees were paid and no such fees were included in accounts payable and accrued expenses in the accompanying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 and Relationships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David T. Hamamoto, who served as our Chairman and Chief Executive Officer until October 23, 2020 and remains our director, purchased $10.0 million of Units in the Initial Public Offering.</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Anchor Investor purchased $32.5 million of Units in the Initial Public Offering and agreed that if it did not own 3,250,000 shares of Class A common stock at the time of any stockholder vote with respect to an initial business combination or the business day immediately prior to the consummation of our initial business combination, it would transfer to the Sponsor a portion of the 812,500 shares of Class B common stock it purchased prior to the Initial Public Offering on a pro rata basis, provided that the Anchor Investor’s remaining number of shares of Class B common stock would not be less than 203,125. No such shares were transferred by the Anchor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known by us regarding the beneficial ownership of the Class A common stock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 2022, by:</w:t>
      </w:r>
    </w:p>
    <w:p>
      <w:pPr>
        <w:spacing w:after="0" w:line="211" w:lineRule="exact"/>
        <w:rPr>
          <w:sz w:val="20"/>
          <w:szCs w:val="20"/>
          <w:color w:val="auto"/>
        </w:rPr>
      </w:pPr>
    </w:p>
    <w:p>
      <w:pPr>
        <w:ind w:left="680" w:right="42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each person who is known by us to be the beneficial owner of more than 5% of the outstanding shares of Class A common stock;</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each of our current Named Executive Officers and directors;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all of our current executive officers and directors as a group.</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231F20"/>
        </w:rPr>
        <w:t xml:space="preserve">Beneficial ownership is determined according to the rules of the SEC, which generally provide that a person has </w:t>
      </w:r>
      <w:r>
        <w:rPr>
          <w:rFonts w:ascii="Arial" w:cs="Arial" w:eastAsia="Arial" w:hAnsi="Arial"/>
          <w:sz w:val="18"/>
          <w:szCs w:val="18"/>
          <w:color w:val="000000"/>
        </w:rPr>
        <w:t>beneficial</w:t>
      </w:r>
      <w:r>
        <w:rPr>
          <w:rFonts w:ascii="Arial" w:cs="Arial" w:eastAsia="Arial" w:hAnsi="Arial"/>
          <w:sz w:val="18"/>
          <w:szCs w:val="18"/>
          <w:color w:val="231F20"/>
        </w:rPr>
        <w:t xml:space="preserve"> </w:t>
      </w:r>
      <w:r>
        <w:rPr>
          <w:rFonts w:ascii="Arial" w:cs="Arial" w:eastAsia="Arial" w:hAnsi="Arial"/>
          <w:sz w:val="18"/>
          <w:szCs w:val="18"/>
          <w:color w:val="000000"/>
        </w:rPr>
        <w:t>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beneficial ownership percentages set forth in the table below are based on 196,472,683 shares of Class A common stock issued and outstanding as of March 3, 2022. Unless otherwise noted, the address for each beneficial owner listed below is c/o Lordstown Motors Corp., 2300 Hallock Young Road, Lordstown, Ohio 44481.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Common Stock</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Beneficially Owned</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 of Class A</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 of Class A</w:t>
            </w:r>
          </w:p>
        </w:tc>
      </w:t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Common Stock</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Common Stock</w:t>
            </w:r>
          </w:p>
        </w:tc>
      </w:t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Beneficially Owned</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 (Current Officers)</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2"/>
          </w:tcPr>
          <w:p>
            <w:pPr>
              <w:spacing w:after="0" w:line="216" w:lineRule="exact"/>
              <w:rPr>
                <w:sz w:val="20"/>
                <w:szCs w:val="20"/>
                <w:color w:val="auto"/>
              </w:rPr>
            </w:pPr>
            <w:r>
              <w:rPr>
                <w:rFonts w:ascii="Arial" w:cs="Arial" w:eastAsia="Arial" w:hAnsi="Arial"/>
                <w:sz w:val="17"/>
                <w:szCs w:val="17"/>
                <w:color w:val="auto"/>
              </w:rPr>
              <w:t>Keith Feldman</w:t>
            </w:r>
            <w:r>
              <w:rPr>
                <w:rFonts w:ascii="Arial" w:cs="Arial" w:eastAsia="Arial" w:hAnsi="Arial"/>
                <w:sz w:val="25"/>
                <w:szCs w:val="25"/>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234,645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Gates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line="216" w:lineRule="exact"/>
              <w:rPr>
                <w:sz w:val="20"/>
                <w:szCs w:val="20"/>
                <w:color w:val="auto"/>
              </w:rPr>
            </w:pPr>
            <w:r>
              <w:rPr>
                <w:rFonts w:ascii="Arial" w:cs="Arial" w:eastAsia="Arial" w:hAnsi="Arial"/>
                <w:sz w:val="17"/>
                <w:szCs w:val="17"/>
                <w:color w:val="auto"/>
              </w:rPr>
              <w:t>David T. Hamamoto</w:t>
            </w:r>
            <w:r>
              <w:rPr>
                <w:rFonts w:ascii="Arial" w:cs="Arial" w:eastAsia="Arial" w:hAnsi="Arial"/>
                <w:sz w:val="25"/>
                <w:szCs w:val="25"/>
                <w:color w:val="auto"/>
                <w:vertAlign w:val="superscript"/>
              </w:rPr>
              <w:t>(2)</w:t>
            </w:r>
          </w:p>
        </w:tc>
        <w:tc>
          <w:tcPr>
            <w:tcW w:w="1240" w:type="dxa"/>
            <w:vAlign w:val="bottom"/>
          </w:tcPr>
          <w:p>
            <w:pPr>
              <w:jc w:val="right"/>
              <w:spacing w:after="0"/>
              <w:rPr>
                <w:sz w:val="20"/>
                <w:szCs w:val="20"/>
                <w:color w:val="auto"/>
              </w:rPr>
            </w:pPr>
            <w:r>
              <w:rPr>
                <w:rFonts w:ascii="Arial" w:cs="Arial" w:eastAsia="Arial" w:hAnsi="Arial"/>
                <w:sz w:val="18"/>
                <w:szCs w:val="18"/>
                <w:color w:val="auto"/>
              </w:rPr>
              <w:t>4,229,135</w:t>
            </w: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2.13 %</w:t>
            </w:r>
          </w:p>
        </w:tc>
      </w:tr>
      <w:tr>
        <w:trPr>
          <w:trHeight w:val="216"/>
        </w:trPr>
        <w:tc>
          <w:tcPr>
            <w:tcW w:w="7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Jane Reiss</w:t>
            </w:r>
            <w:r>
              <w:rPr>
                <w:rFonts w:ascii="Arial" w:cs="Arial" w:eastAsia="Arial" w:hAnsi="Arial"/>
                <w:sz w:val="25"/>
                <w:szCs w:val="25"/>
                <w:color w:val="auto"/>
                <w:vertAlign w:val="superscript"/>
              </w:rPr>
              <w:t>(3)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Martin J. Rucidlo</w:t>
            </w:r>
          </w:p>
        </w:tc>
        <w:tc>
          <w:tcPr>
            <w:tcW w:w="1240" w:type="dxa"/>
            <w:vAlign w:val="bottom"/>
          </w:tcPr>
          <w:p>
            <w:pPr>
              <w:jc w:val="right"/>
              <w:spacing w:after="0"/>
              <w:rPr>
                <w:sz w:val="20"/>
                <w:szCs w:val="20"/>
                <w:color w:val="auto"/>
              </w:rPr>
            </w:pPr>
            <w:r>
              <w:rPr>
                <w:rFonts w:ascii="Arial" w:cs="Arial" w:eastAsia="Arial" w:hAnsi="Arial"/>
                <w:sz w:val="18"/>
                <w:szCs w:val="18"/>
                <w:color w:val="auto"/>
              </w:rPr>
              <w:t>20,754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Dale Spencer</w:t>
            </w:r>
            <w:r>
              <w:rPr>
                <w:rFonts w:ascii="Arial" w:cs="Arial" w:eastAsia="Arial" w:hAnsi="Arial"/>
                <w:sz w:val="25"/>
                <w:szCs w:val="25"/>
                <w:color w:val="auto"/>
                <w:vertAlign w:val="superscript"/>
              </w:rPr>
              <w:t>(3)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Angela Strand</w:t>
            </w:r>
          </w:p>
        </w:tc>
        <w:tc>
          <w:tcPr>
            <w:tcW w:w="1240" w:type="dxa"/>
            <w:vAlign w:val="bottom"/>
          </w:tcPr>
          <w:p>
            <w:pPr>
              <w:jc w:val="right"/>
              <w:spacing w:after="0"/>
              <w:rPr>
                <w:sz w:val="20"/>
                <w:szCs w:val="20"/>
                <w:color w:val="auto"/>
              </w:rPr>
            </w:pPr>
            <w:r>
              <w:rPr>
                <w:rFonts w:ascii="Arial" w:cs="Arial" w:eastAsia="Arial" w:hAnsi="Arial"/>
                <w:sz w:val="18"/>
                <w:szCs w:val="18"/>
                <w:color w:val="auto"/>
              </w:rPr>
              <w:t>58,219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Ninivaggi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Adam Kroll</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Ritson-Parsons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(Former Officers)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Stephen S. Burns</w:t>
            </w:r>
            <w:r>
              <w:rPr>
                <w:rFonts w:ascii="Arial" w:cs="Arial" w:eastAsia="Arial" w:hAnsi="Arial"/>
                <w:sz w:val="25"/>
                <w:szCs w:val="25"/>
                <w:color w:val="auto"/>
                <w:vertAlign w:val="superscript"/>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35,362,745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17.9 %</w:t>
            </w:r>
          </w:p>
        </w:tc>
      </w:tr>
      <w:tr>
        <w:trPr>
          <w:trHeight w:val="216"/>
        </w:trPr>
        <w:tc>
          <w:tcPr>
            <w:tcW w:w="7060" w:type="dxa"/>
            <w:vAlign w:val="bottom"/>
            <w:gridSpan w:val="2"/>
          </w:tcPr>
          <w:p>
            <w:pPr>
              <w:spacing w:after="0" w:line="216" w:lineRule="exact"/>
              <w:rPr>
                <w:sz w:val="20"/>
                <w:szCs w:val="20"/>
                <w:color w:val="auto"/>
              </w:rPr>
            </w:pPr>
            <w:r>
              <w:rPr>
                <w:rFonts w:ascii="Arial" w:cs="Arial" w:eastAsia="Arial" w:hAnsi="Arial"/>
                <w:sz w:val="17"/>
                <w:szCs w:val="17"/>
                <w:color w:val="auto"/>
              </w:rPr>
              <w:t>Thomas V. Canepa</w:t>
            </w:r>
            <w:r>
              <w:rPr>
                <w:rFonts w:ascii="Arial" w:cs="Arial" w:eastAsia="Arial" w:hAnsi="Arial"/>
                <w:sz w:val="25"/>
                <w:szCs w:val="25"/>
                <w:color w:val="auto"/>
                <w:vertAlign w:val="superscript"/>
              </w:rPr>
              <w:t>(5)</w:t>
            </w:r>
          </w:p>
        </w:tc>
        <w:tc>
          <w:tcPr>
            <w:tcW w:w="1240" w:type="dxa"/>
            <w:vAlign w:val="bottom"/>
          </w:tcPr>
          <w:p>
            <w:pPr>
              <w:jc w:val="right"/>
              <w:spacing w:after="0"/>
              <w:rPr>
                <w:sz w:val="20"/>
                <w:szCs w:val="20"/>
                <w:color w:val="auto"/>
              </w:rPr>
            </w:pPr>
            <w:r>
              <w:rPr>
                <w:rFonts w:ascii="Arial" w:cs="Arial" w:eastAsia="Arial" w:hAnsi="Arial"/>
                <w:sz w:val="18"/>
                <w:szCs w:val="18"/>
                <w:color w:val="auto"/>
              </w:rPr>
              <w:t>698,059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Chuan D. (John) Vo</w:t>
            </w:r>
            <w:r>
              <w:rPr>
                <w:rFonts w:ascii="Arial" w:cs="Arial" w:eastAsia="Arial" w:hAnsi="Arial"/>
                <w:sz w:val="25"/>
                <w:szCs w:val="25"/>
                <w:color w:val="auto"/>
                <w:vertAlign w:val="superscript"/>
              </w:rPr>
              <w:t>(6)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line="216" w:lineRule="exact"/>
              <w:rPr>
                <w:sz w:val="20"/>
                <w:szCs w:val="20"/>
                <w:color w:val="auto"/>
              </w:rPr>
            </w:pPr>
            <w:r>
              <w:rPr>
                <w:rFonts w:ascii="Arial" w:cs="Arial" w:eastAsia="Arial" w:hAnsi="Arial"/>
                <w:sz w:val="17"/>
                <w:szCs w:val="17"/>
                <w:b w:val="1"/>
                <w:bCs w:val="1"/>
                <w:i w:val="1"/>
                <w:iCs w:val="1"/>
                <w:color w:val="auto"/>
              </w:rPr>
              <w:t>All Current Directors and Executive Officers, as a group (12 individuals)</w:t>
            </w:r>
            <w:r>
              <w:rPr>
                <w:rFonts w:ascii="Arial" w:cs="Arial" w:eastAsia="Arial" w:hAnsi="Arial"/>
                <w:sz w:val="25"/>
                <w:szCs w:val="25"/>
                <w:color w:val="auto"/>
                <w:vertAlign w:val="superscript"/>
              </w:rPr>
              <w:t>(7)</w:t>
            </w:r>
          </w:p>
        </w:tc>
        <w:tc>
          <w:tcPr>
            <w:tcW w:w="1240" w:type="dxa"/>
            <w:vAlign w:val="bottom"/>
          </w:tcPr>
          <w:p>
            <w:pPr>
              <w:jc w:val="right"/>
              <w:spacing w:after="0"/>
              <w:rPr>
                <w:sz w:val="20"/>
                <w:szCs w:val="20"/>
                <w:color w:val="auto"/>
              </w:rPr>
            </w:pPr>
            <w:r>
              <w:rPr>
                <w:rFonts w:ascii="Arial" w:cs="Arial" w:eastAsia="Arial" w:hAnsi="Arial"/>
                <w:sz w:val="18"/>
                <w:szCs w:val="18"/>
                <w:color w:val="auto"/>
              </w:rPr>
              <w:t>5,033,570</w:t>
            </w: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2.53 %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353"/>
        </w:trPr>
        <w:tc>
          <w:tcPr>
            <w:tcW w:w="7060" w:type="dxa"/>
            <w:vAlign w:val="bottom"/>
            <w:gridSpan w:val="2"/>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11,264,704</w:t>
            </w:r>
          </w:p>
        </w:tc>
        <w:tc>
          <w:tcPr>
            <w:tcW w:w="20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231F20"/>
        </w:rPr>
        <w:tab/>
        <w:t xml:space="preserve">Represents </w:t>
      </w:r>
      <w:r>
        <w:rPr>
          <w:rFonts w:ascii="Arial" w:cs="Arial" w:eastAsia="Arial" w:hAnsi="Arial"/>
          <w:sz w:val="18"/>
          <w:szCs w:val="18"/>
          <w:color w:val="000000"/>
        </w:rPr>
        <w:t>beneficial ownership of less than 1%.</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91,613 shares of Class A common stock underlying Private Placement Warrants.</w:t>
      </w:r>
    </w:p>
    <w:p>
      <w:pPr>
        <w:spacing w:after="0" w:line="225" w:lineRule="exact"/>
        <w:rPr>
          <w:rFonts w:ascii="Arial" w:cs="Arial" w:eastAsia="Arial" w:hAnsi="Arial"/>
          <w:sz w:val="18"/>
          <w:szCs w:val="18"/>
          <w:color w:val="auto"/>
        </w:rPr>
      </w:pPr>
    </w:p>
    <w:p>
      <w:pPr>
        <w:ind w:left="340" w:right="140" w:hanging="332"/>
        <w:spacing w:after="0" w:line="255"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76,119 shares of Class A common stock held by David T. Hamamoto directly, 800,913 shares of Class A common stock and 608,799 shares of Class A common stock underlying Private Placement Warrants held by DiamondHead Partners LLC (“DiamondHead Partners”), and 1,525,707 shares of Class A common stock and 1,217,597 shares of Class A common stock underlying Private Placement Warrants held by the David T. Hamamoto GRAT 2019 — SPAC (the “GRAT”), which is a grantor-retained annuity trust. Mr. Hamamoto is the sole managing member of DiamondHead Partners and the trustee and sole annuitant of the GRAT.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139,704 shares of Class A common stock underlying options that are exercisable within 60 days.</w:t>
      </w:r>
    </w:p>
    <w:p>
      <w:pPr>
        <w:spacing w:after="0" w:line="22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is from a Schedule 13D filed on March 3, 2022. Stephen S. Burns, our former Chairman of the Board and former Chief Executive Officer, has the sole power to vote or direct the vote and the sole power to dispose or direct the disposition of all shares of the Class A common stock he beneficially owns. Mr. Burns principal address is Stephen S. Burns, c/o Tucker Ellis LLP, 950 Main Avenue, Suite 1100 Cleveland, Ohio 44113, Attention: Robert M. Loesch.</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684,089 shares of Class A common stock underlying options that are exercisable within 60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226,924 shares of Class A common stock underlying options that are exercisable within 60 days.</w:t>
      </w:r>
    </w:p>
    <w:p>
      <w:pPr>
        <w:spacing w:after="0" w:line="225" w:lineRule="exact"/>
        <w:rPr>
          <w:rFonts w:ascii="Arial" w:cs="Arial" w:eastAsia="Arial" w:hAnsi="Arial"/>
          <w:sz w:val="18"/>
          <w:szCs w:val="18"/>
          <w:color w:val="auto"/>
        </w:rPr>
      </w:pPr>
    </w:p>
    <w:p>
      <w:pPr>
        <w:jc w:val="both"/>
        <w:ind w:left="340" w:right="20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346,074 shares of Class A common stock underlying options that are exercisable within 60 days and 1,918,009 shares of Class A common stock underlying Warrants. As former executive officers, Messrs. Burns, Canepa and Vo are not included in this group.</w:t>
      </w:r>
    </w:p>
    <w:p>
      <w:pPr>
        <w:spacing w:after="0" w:line="183"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is from a Schedule 13G filed on February 8, 2022.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The principal business address of The Vanguard Group is 100 Vanguard Blvd., Malvern, Pennsylvania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Selling Securityholders acquired the shares of our Class A common stock and the Private Placement Warrants offered hereby and may acquire the shares of our Class A common stock issuable upon exercise of the Private Placement Warrants and the BGL Warrants (the “Warrant Shares”), in each case, in a private offering pursuant to an exemption from registration under Section 4(a)(2) of the Securities Act.</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the Registration Rights and Lock-Up Agreement, the Subscription Agreements and the Convertible Promissory Notes, we agreed to file the Resale Registration Statement with the SEC for the purposes of registering for resale the Private Placement Warrants, the Warrant Shares and certain shares of Class A common stock issued to the Selling Securityholders pursuant to such agreements. We are also registering for resale the shares of Class A common stock received by the Legacy Lordstown stockholders in the Business Combination.</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following table sets forth, based on written representations from the Selling Securityholders, certain information as of March 1, 2022, except where noted below, regarding the beneficial ownership of the Selling Securityholders of our Class A common stock and the Private Placement Warrants and the shares of Class A common stock and the Private Placement Warrants being offered by the Selling Securityholders. Information with respect to shares of Class A common stock beneficially owned prior to the offering includes shares underlying Private Placement Warrants and other rights of such Selling Securityholder to acquire Class A common shares. The applicable percentage ownership of the securities being offered hereby is based on approximately 196,452,683 shares of Class A common stock outstanding as of March 1, 2022. Information with respect to shares of Class A common stock and the Private Placement Warrants owned beneficially after the offering assumes the sale of all of the shares of Class A common stock, Private Placement Warrants and Warrant Shares offered and no other purchases or sales of our securities. The Selling Securityholders may offer and sell some, all or none of their shares of Class A common stock, their Private Placement Warrants or Warrant Shares, as applicable.</w:t>
      </w:r>
    </w:p>
    <w:p>
      <w:pPr>
        <w:spacing w:after="0" w:line="16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231F20"/>
        </w:rPr>
        <w:t>We have determined beneficial ownership in accordance with the rules of the SEC. Except as indicated by the footnotes to the table below, we believe, based on the information furnished to us, that the Selling Securityholders have sole voting and investment power with respect to all shares of Class A common stock, the Private Placement Warrants and Warrant Shares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3"/>
              </w:rPr>
              <w:t>Shares of Class A</w:t>
            </w:r>
          </w:p>
        </w:tc>
        <w:tc>
          <w:tcPr>
            <w:tcW w:w="1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Warrants Beneficially</w:t>
            </w: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After the</w:t>
            </w: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Owned After the</w:t>
            </w: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Offered Shares</w:t>
            </w: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53"/>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Are Sold</w:t>
            </w:r>
          </w:p>
        </w:tc>
        <w:tc>
          <w:tcPr>
            <w:tcW w:w="1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r>
      <w:tr>
        <w:trPr>
          <w:trHeight w:val="110"/>
        </w:trPr>
        <w:tc>
          <w:tcPr>
            <w:tcW w:w="3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1"/>
              </w:rPr>
              <w:t>Shares of</w:t>
            </w: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of</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Stock After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Class A</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Private</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the Offered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Placement</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of Private</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Warrants</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Placement</w:t>
            </w: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Warrants</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6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4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85"/>
              </w:rPr>
              <w:t>Stock Being</w:t>
            </w:r>
          </w:p>
        </w:tc>
        <w:tc>
          <w:tcPr>
            <w:tcW w:w="78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82"/>
              </w:rPr>
              <w:t>Being</w:t>
            </w:r>
          </w:p>
        </w:tc>
        <w:tc>
          <w:tcPr>
            <w:tcW w:w="80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84"/>
              </w:rPr>
              <w:t>Stock</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Name of Selling Securityholder</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to Offering</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to Offering</w:t>
            </w: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Offered</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Are Sold</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Percent</w:t>
            </w: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640" w:type="dxa"/>
            <w:vAlign w:val="bottom"/>
          </w:tcPr>
          <w:p>
            <w:pPr>
              <w:jc w:val="right"/>
              <w:ind w:right="48"/>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Abel Family Investments LLC</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819,005</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819,005</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Adam &amp; Ellen Gannon Shapiro JT TEN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50,054</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44,554</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5,500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Adam Perlow &amp; Marlo S. Perlow JT TEN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27,940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27,940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2"/>
                <w:szCs w:val="12"/>
                <w:color w:val="auto"/>
              </w:rPr>
              <w:t>Albert T. Adams, Trustee of The Albert T. Adams Trust</w:t>
            </w:r>
            <w:r>
              <w:rPr>
                <w:rFonts w:ascii="Arial" w:cs="Arial" w:eastAsia="Arial" w:hAnsi="Arial"/>
                <w:sz w:val="17"/>
                <w:szCs w:val="17"/>
                <w:color w:val="auto"/>
                <w:vertAlign w:val="superscript"/>
              </w:rPr>
              <w:t>(2)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100,383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100,383</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Albert Thomas Adams</w:t>
            </w:r>
            <w:r>
              <w:rPr>
                <w:rFonts w:ascii="Arial" w:cs="Arial" w:eastAsia="Arial" w:hAnsi="Arial"/>
                <w:sz w:val="17"/>
                <w:szCs w:val="17"/>
                <w:color w:val="auto"/>
                <w:vertAlign w:val="superscript"/>
              </w:rPr>
              <w:t>(2)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55,881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55,881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Alexander Gitch</w:t>
            </w:r>
          </w:p>
        </w:tc>
        <w:tc>
          <w:tcPr>
            <w:tcW w:w="700" w:type="dxa"/>
            <w:vAlign w:val="bottom"/>
          </w:tcPr>
          <w:p>
            <w:pPr>
              <w:jc w:val="right"/>
              <w:spacing w:after="0"/>
              <w:rPr>
                <w:sz w:val="20"/>
                <w:szCs w:val="20"/>
                <w:color w:val="auto"/>
              </w:rPr>
            </w:pPr>
            <w:r>
              <w:rPr>
                <w:rFonts w:ascii="Arial" w:cs="Arial" w:eastAsia="Arial" w:hAnsi="Arial"/>
                <w:sz w:val="14"/>
                <w:szCs w:val="14"/>
                <w:color w:val="auto"/>
              </w:rPr>
              <w:t>1,504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575</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Alice A. Devine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AMFCO-4 LLC</w:t>
            </w:r>
            <w:r>
              <w:rPr>
                <w:rFonts w:ascii="Arial" w:cs="Arial" w:eastAsia="Arial" w:hAnsi="Arial"/>
                <w:sz w:val="18"/>
                <w:szCs w:val="18"/>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4"/>
                <w:szCs w:val="14"/>
                <w:color w:val="auto"/>
              </w:rPr>
              <w:t>330,000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330,000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D. Weller</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Andrew Richardson</w:t>
            </w:r>
            <w:r>
              <w:rPr>
                <w:rFonts w:ascii="Arial" w:cs="Arial" w:eastAsia="Arial" w:hAnsi="Arial"/>
                <w:sz w:val="18"/>
                <w:szCs w:val="18"/>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88,357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88,357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Anthony B. Cimino*</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183,411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183,411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Anthony J. Hasapis*</w:t>
            </w:r>
          </w:p>
        </w:tc>
        <w:tc>
          <w:tcPr>
            <w:tcW w:w="700" w:type="dxa"/>
            <w:vAlign w:val="bottom"/>
          </w:tcPr>
          <w:p>
            <w:pPr>
              <w:jc w:val="right"/>
              <w:spacing w:after="0"/>
              <w:rPr>
                <w:sz w:val="20"/>
                <w:szCs w:val="20"/>
                <w:color w:val="auto"/>
              </w:rPr>
            </w:pPr>
            <w:r>
              <w:rPr>
                <w:rFonts w:ascii="Arial" w:cs="Arial" w:eastAsia="Arial" w:hAnsi="Arial"/>
                <w:sz w:val="14"/>
                <w:szCs w:val="14"/>
                <w:color w:val="auto"/>
              </w:rPr>
              <w:t>5,019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5,019</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Anthony V. Milone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52,308</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Arash Dilmanian</w:t>
            </w:r>
          </w:p>
        </w:tc>
        <w:tc>
          <w:tcPr>
            <w:tcW w:w="700" w:type="dxa"/>
            <w:vAlign w:val="bottom"/>
          </w:tcPr>
          <w:p>
            <w:pPr>
              <w:jc w:val="right"/>
              <w:spacing w:after="0"/>
              <w:rPr>
                <w:sz w:val="20"/>
                <w:szCs w:val="20"/>
                <w:color w:val="auto"/>
              </w:rPr>
            </w:pPr>
            <w:r>
              <w:rPr>
                <w:rFonts w:ascii="Arial" w:cs="Arial" w:eastAsia="Arial" w:hAnsi="Arial"/>
                <w:sz w:val="14"/>
                <w:szCs w:val="14"/>
                <w:color w:val="auto"/>
              </w:rPr>
              <w:t>90,979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11,646</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90,979</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11,646</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Armory Fund LP</w:t>
            </w:r>
            <w:r>
              <w:rPr>
                <w:rFonts w:ascii="Arial" w:cs="Arial" w:eastAsia="Arial" w:hAnsi="Arial"/>
                <w:sz w:val="18"/>
                <w:szCs w:val="18"/>
                <w:color w:val="auto"/>
                <w:vertAlign w:val="superscript"/>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241,526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232,526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Article Third of Hamamoto Family Trust 2003</w:t>
            </w:r>
            <w:r>
              <w:rPr>
                <w:rFonts w:ascii="Arial" w:cs="Arial" w:eastAsia="Arial" w:hAnsi="Arial"/>
                <w:sz w:val="18"/>
                <w:szCs w:val="18"/>
                <w:color w:val="auto"/>
                <w:vertAlign w:val="superscript"/>
              </w:rPr>
              <w:t>(5)</w:t>
            </w:r>
          </w:p>
        </w:tc>
        <w:tc>
          <w:tcPr>
            <w:tcW w:w="700" w:type="dxa"/>
            <w:vAlign w:val="bottom"/>
          </w:tcPr>
          <w:p>
            <w:pPr>
              <w:jc w:val="right"/>
              <w:spacing w:after="0"/>
              <w:rPr>
                <w:sz w:val="20"/>
                <w:szCs w:val="20"/>
                <w:color w:val="auto"/>
              </w:rPr>
            </w:pPr>
            <w:r>
              <w:rPr>
                <w:rFonts w:ascii="Arial" w:cs="Arial" w:eastAsia="Arial" w:hAnsi="Arial"/>
                <w:sz w:val="14"/>
                <w:szCs w:val="14"/>
                <w:color w:val="auto"/>
              </w:rPr>
              <w:t>994,755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202,933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266,971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202,933</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524,851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ATJ Electrical Co Inc</w:t>
            </w:r>
            <w:r>
              <w:rPr>
                <w:rFonts w:ascii="Arial" w:cs="Arial" w:eastAsia="Arial" w:hAnsi="Arial"/>
                <w:sz w:val="18"/>
                <w:szCs w:val="18"/>
                <w:color w:val="auto"/>
                <w:vertAlign w:val="superscript"/>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40,304</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Barbara G. Samuels</w:t>
            </w:r>
            <w:r>
              <w:rPr>
                <w:rFonts w:ascii="Arial" w:cs="Arial" w:eastAsia="Arial" w:hAnsi="Arial"/>
                <w:sz w:val="18"/>
                <w:szCs w:val="18"/>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4"/>
                <w:szCs w:val="14"/>
                <w:color w:val="auto"/>
              </w:rPr>
              <w:t>235,342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235,342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Barrett A. Binion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BEMAP Master Fund Ltd*</w:t>
            </w:r>
            <w:r>
              <w:rPr>
                <w:rFonts w:ascii="Arial" w:cs="Arial" w:eastAsia="Arial" w:hAnsi="Arial"/>
                <w:sz w:val="18"/>
                <w:szCs w:val="18"/>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545,454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545,454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Blackwell Horizon LLC</w:t>
            </w:r>
            <w:r>
              <w:rPr>
                <w:rFonts w:ascii="Arial" w:cs="Arial" w:eastAsia="Arial" w:hAnsi="Arial"/>
                <w:sz w:val="18"/>
                <w:szCs w:val="18"/>
                <w:color w:val="auto"/>
                <w:vertAlign w:val="superscript"/>
              </w:rPr>
              <w:t>(9)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BLDG, LLC</w:t>
            </w:r>
            <w:r>
              <w:rPr>
                <w:rFonts w:ascii="Arial" w:cs="Arial" w:eastAsia="Arial" w:hAnsi="Arial"/>
                <w:sz w:val="18"/>
                <w:szCs w:val="18"/>
                <w:color w:val="auto"/>
                <w:vertAlign w:val="superscript"/>
              </w:rPr>
              <w:t>(10)</w:t>
            </w:r>
          </w:p>
        </w:tc>
        <w:tc>
          <w:tcPr>
            <w:tcW w:w="700" w:type="dxa"/>
            <w:vAlign w:val="bottom"/>
          </w:tcPr>
          <w:p>
            <w:pPr>
              <w:jc w:val="right"/>
              <w:spacing w:after="0"/>
              <w:rPr>
                <w:sz w:val="20"/>
                <w:szCs w:val="20"/>
                <w:color w:val="auto"/>
              </w:rPr>
            </w:pPr>
            <w:r>
              <w:rPr>
                <w:rFonts w:ascii="Arial" w:cs="Arial" w:eastAsia="Arial" w:hAnsi="Arial"/>
                <w:sz w:val="14"/>
                <w:szCs w:val="14"/>
                <w:color w:val="auto"/>
              </w:rPr>
              <w:t>10,060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10,060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Brad S. Lebovitz</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37,044</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6,398</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6,398</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Bradley L. Todora</w:t>
            </w:r>
          </w:p>
        </w:tc>
        <w:tc>
          <w:tcPr>
            <w:tcW w:w="700" w:type="dxa"/>
            <w:vAlign w:val="bottom"/>
          </w:tcPr>
          <w:p>
            <w:pPr>
              <w:jc w:val="right"/>
              <w:spacing w:after="0"/>
              <w:rPr>
                <w:sz w:val="20"/>
                <w:szCs w:val="20"/>
                <w:color w:val="auto"/>
              </w:rPr>
            </w:pPr>
            <w:r>
              <w:rPr>
                <w:rFonts w:ascii="Arial" w:cs="Arial" w:eastAsia="Arial" w:hAnsi="Arial"/>
                <w:sz w:val="14"/>
                <w:szCs w:val="14"/>
                <w:color w:val="auto"/>
              </w:rPr>
              <w:t>20,120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20,120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Brett Bossung</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649,667</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16,917</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649,667</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16,917</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Brett C. Klyza</w:t>
            </w:r>
          </w:p>
        </w:tc>
        <w:tc>
          <w:tcPr>
            <w:tcW w:w="700" w:type="dxa"/>
            <w:vAlign w:val="bottom"/>
          </w:tcPr>
          <w:p>
            <w:pPr>
              <w:jc w:val="right"/>
              <w:spacing w:after="0"/>
              <w:rPr>
                <w:sz w:val="20"/>
                <w:szCs w:val="20"/>
                <w:color w:val="auto"/>
              </w:rPr>
            </w:pPr>
            <w:r>
              <w:rPr>
                <w:rFonts w:ascii="Arial" w:cs="Arial" w:eastAsia="Arial" w:hAnsi="Arial"/>
                <w:sz w:val="14"/>
                <w:szCs w:val="14"/>
                <w:color w:val="auto"/>
              </w:rPr>
              <w:t>17,675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7,493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17,675</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7,493</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A. Betancourt*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112,969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112,969</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Brian Frank</w:t>
            </w:r>
          </w:p>
        </w:tc>
        <w:tc>
          <w:tcPr>
            <w:tcW w:w="700" w:type="dxa"/>
            <w:vAlign w:val="bottom"/>
          </w:tcPr>
          <w:p>
            <w:pPr>
              <w:jc w:val="right"/>
              <w:spacing w:after="0"/>
              <w:rPr>
                <w:sz w:val="20"/>
                <w:szCs w:val="20"/>
                <w:color w:val="auto"/>
              </w:rPr>
            </w:pPr>
            <w:r>
              <w:rPr>
                <w:rFonts w:ascii="Arial" w:cs="Arial" w:eastAsia="Arial" w:hAnsi="Arial"/>
                <w:sz w:val="14"/>
                <w:szCs w:val="14"/>
                <w:color w:val="auto"/>
              </w:rPr>
              <w:t>10,101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Roberts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122,204</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line="162" w:lineRule="exact"/>
              <w:rPr>
                <w:sz w:val="20"/>
                <w:szCs w:val="20"/>
                <w:color w:val="auto"/>
              </w:rPr>
            </w:pPr>
            <w:r>
              <w:rPr>
                <w:rFonts w:ascii="Arial" w:cs="Arial" w:eastAsia="Arial" w:hAnsi="Arial"/>
                <w:sz w:val="13"/>
                <w:szCs w:val="13"/>
                <w:color w:val="auto"/>
              </w:rPr>
              <w:t>Brown Gibbons Lang &amp; Company LLC</w:t>
            </w:r>
            <w:r>
              <w:rPr>
                <w:rFonts w:ascii="Arial" w:cs="Arial" w:eastAsia="Arial" w:hAnsi="Arial"/>
                <w:sz w:val="18"/>
                <w:szCs w:val="18"/>
                <w:color w:val="auto"/>
                <w:vertAlign w:val="superscript"/>
              </w:rPr>
              <w:t>(11)</w:t>
            </w:r>
          </w:p>
        </w:tc>
        <w:tc>
          <w:tcPr>
            <w:tcW w:w="700" w:type="dxa"/>
            <w:vAlign w:val="bottom"/>
          </w:tcPr>
          <w:p>
            <w:pPr>
              <w:jc w:val="right"/>
              <w:spacing w:after="0"/>
              <w:rPr>
                <w:sz w:val="20"/>
                <w:szCs w:val="20"/>
                <w:color w:val="auto"/>
              </w:rPr>
            </w:pPr>
            <w:r>
              <w:rPr>
                <w:rFonts w:ascii="Arial" w:cs="Arial" w:eastAsia="Arial" w:hAnsi="Arial"/>
                <w:sz w:val="14"/>
                <w:szCs w:val="14"/>
                <w:color w:val="auto"/>
              </w:rPr>
              <w:t>1,649,489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1,649,489</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Chris Prouty*</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40,082</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40,082</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Chris S. Westfahl</w:t>
            </w:r>
          </w:p>
        </w:tc>
        <w:tc>
          <w:tcPr>
            <w:tcW w:w="700" w:type="dxa"/>
            <w:vAlign w:val="bottom"/>
          </w:tcPr>
          <w:p>
            <w:pPr>
              <w:jc w:val="right"/>
              <w:spacing w:after="0"/>
              <w:rPr>
                <w:sz w:val="20"/>
                <w:szCs w:val="20"/>
                <w:color w:val="auto"/>
              </w:rPr>
            </w:pPr>
            <w:r>
              <w:rPr>
                <w:rFonts w:ascii="Arial" w:cs="Arial" w:eastAsia="Arial" w:hAnsi="Arial"/>
                <w:sz w:val="14"/>
                <w:szCs w:val="14"/>
                <w:color w:val="auto"/>
              </w:rPr>
              <w:t>67,379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67,379</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2,624</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Christine M. Ojile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Christopher J. Cecchetelli</w:t>
            </w:r>
          </w:p>
        </w:tc>
        <w:tc>
          <w:tcPr>
            <w:tcW w:w="700" w:type="dxa"/>
            <w:vAlign w:val="bottom"/>
          </w:tcPr>
          <w:p>
            <w:pPr>
              <w:jc w:val="right"/>
              <w:spacing w:after="0"/>
              <w:rPr>
                <w:sz w:val="20"/>
                <w:szCs w:val="20"/>
                <w:color w:val="auto"/>
              </w:rPr>
            </w:pPr>
            <w:r>
              <w:rPr>
                <w:rFonts w:ascii="Arial" w:cs="Arial" w:eastAsia="Arial" w:hAnsi="Arial"/>
                <w:sz w:val="14"/>
                <w:szCs w:val="14"/>
                <w:color w:val="auto"/>
              </w:rPr>
              <w:t>1,223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468</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1,223</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468</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4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Chuan D. Vo</w:t>
            </w:r>
            <w:r>
              <w:rPr>
                <w:rFonts w:ascii="Arial" w:cs="Arial" w:eastAsia="Arial" w:hAnsi="Arial"/>
                <w:sz w:val="18"/>
                <w:szCs w:val="18"/>
                <w:color w:val="auto"/>
                <w:vertAlign w:val="superscript"/>
              </w:rPr>
              <w:t>(12)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227,641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226,924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30"/>
        </w:trPr>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Clayton E. Wimberly &amp; Joan Mary Wimberly COMM</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82"/>
        </w:trPr>
        <w:tc>
          <w:tcPr>
            <w:tcW w:w="3540" w:type="dxa"/>
            <w:vAlign w:val="bottom"/>
            <w:gridSpan w:val="2"/>
          </w:tcPr>
          <w:p>
            <w:pPr>
              <w:ind w:left="140"/>
              <w:spacing w:after="0"/>
              <w:rPr>
                <w:sz w:val="20"/>
                <w:szCs w:val="20"/>
                <w:color w:val="auto"/>
              </w:rPr>
            </w:pPr>
            <w:r>
              <w:rPr>
                <w:rFonts w:ascii="Arial" w:cs="Arial" w:eastAsia="Arial" w:hAnsi="Arial"/>
                <w:sz w:val="14"/>
                <w:szCs w:val="14"/>
                <w:color w:val="auto"/>
              </w:rPr>
              <w:t>WROS PROP*</w:t>
            </w:r>
          </w:p>
        </w:tc>
        <w:tc>
          <w:tcPr>
            <w:tcW w:w="700" w:type="dxa"/>
            <w:vAlign w:val="bottom"/>
          </w:tcPr>
          <w:p>
            <w:pPr>
              <w:jc w:val="right"/>
              <w:spacing w:after="0"/>
              <w:rPr>
                <w:sz w:val="20"/>
                <w:szCs w:val="20"/>
                <w:color w:val="auto"/>
              </w:rPr>
            </w:pPr>
            <w:r>
              <w:rPr>
                <w:rFonts w:ascii="Arial" w:cs="Arial" w:eastAsia="Arial" w:hAnsi="Arial"/>
                <w:sz w:val="14"/>
                <w:szCs w:val="14"/>
                <w:color w:val="auto"/>
              </w:rPr>
              <w:t>15,152</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15,152</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4"/>
              </w:rPr>
              <w:t>Shares of Class A</w:t>
            </w: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Warrants Beneficially</w:t>
            </w: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After the</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Owned After the</w:t>
            </w: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Offered Shares</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53"/>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Are Sold</w:t>
            </w: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r>
      <w:tr>
        <w:trPr>
          <w:trHeight w:val="110"/>
        </w:trPr>
        <w:tc>
          <w:tcPr>
            <w:tcW w:w="3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1"/>
              </w:rPr>
              <w:t>Shares of</w:t>
            </w: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Class A</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 After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Class A</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Private</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the Offered</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Placement</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of Private</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Warrants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Class A</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Placement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Class A</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Beneficially</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Warrants</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4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2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85"/>
              </w:rPr>
              <w:t>Stock Being</w:t>
            </w:r>
          </w:p>
        </w:tc>
        <w:tc>
          <w:tcPr>
            <w:tcW w:w="80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82"/>
              </w:rPr>
              <w:t>Being</w:t>
            </w:r>
          </w:p>
        </w:tc>
        <w:tc>
          <w:tcPr>
            <w:tcW w:w="76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84"/>
              </w:rPr>
              <w:t>Stock</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Name of Selling Securityholder</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to Offering</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to Offering</w:t>
            </w:r>
          </w:p>
        </w:tc>
        <w:tc>
          <w:tcPr>
            <w:tcW w:w="820" w:type="dxa"/>
            <w:vAlign w:val="bottom"/>
            <w:gridSpan w:val="2"/>
          </w:tcPr>
          <w:p>
            <w:pPr>
              <w:jc w:val="center"/>
              <w:ind w:right="140"/>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Offered</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Are Sold</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Percent</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Number</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Percent</w:t>
            </w:r>
          </w:p>
        </w:tc>
      </w:tr>
      <w:tr>
        <w:trPr>
          <w:trHeight w:val="142"/>
        </w:trPr>
        <w:tc>
          <w:tcPr>
            <w:tcW w:w="3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Colleen C. Fennerty</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Connie Leonard</w:t>
            </w:r>
          </w:p>
        </w:tc>
        <w:tc>
          <w:tcPr>
            <w:tcW w:w="720" w:type="dxa"/>
            <w:vAlign w:val="bottom"/>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A. Tujios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43,881</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Daniel J. Wampler &amp; Lisa Ann Wampler JT TEN*</w:t>
            </w:r>
          </w:p>
        </w:tc>
        <w:tc>
          <w:tcPr>
            <w:tcW w:w="720" w:type="dxa"/>
            <w:vAlign w:val="bottom"/>
          </w:tcPr>
          <w:p>
            <w:pPr>
              <w:jc w:val="right"/>
              <w:spacing w:after="0"/>
              <w:rPr>
                <w:sz w:val="20"/>
                <w:szCs w:val="20"/>
                <w:color w:val="auto"/>
              </w:rPr>
            </w:pPr>
            <w:r>
              <w:rPr>
                <w:rFonts w:ascii="Arial" w:cs="Arial" w:eastAsia="Arial" w:hAnsi="Arial"/>
                <w:sz w:val="14"/>
                <w:szCs w:val="14"/>
                <w:color w:val="auto"/>
              </w:rPr>
              <w:t>177,446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177,446</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Daniel W. Grotenhuis*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111,763</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111,763</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Danielle Voroba</w:t>
            </w: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Ezekiel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David Mazzullo*</w:t>
            </w:r>
          </w:p>
        </w:tc>
        <w:tc>
          <w:tcPr>
            <w:tcW w:w="720" w:type="dxa"/>
            <w:vAlign w:val="bottom"/>
          </w:tcPr>
          <w:p>
            <w:pPr>
              <w:jc w:val="right"/>
              <w:spacing w:after="0"/>
              <w:rPr>
                <w:sz w:val="20"/>
                <w:szCs w:val="20"/>
                <w:color w:val="auto"/>
              </w:rPr>
            </w:pPr>
            <w:r>
              <w:rPr>
                <w:rFonts w:ascii="Arial" w:cs="Arial" w:eastAsia="Arial" w:hAnsi="Arial"/>
                <w:sz w:val="14"/>
                <w:szCs w:val="14"/>
                <w:color w:val="auto"/>
              </w:rPr>
              <w:t>40,405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40,405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David T. Hamamoto</w:t>
            </w:r>
            <w:r>
              <w:rPr>
                <w:rFonts w:ascii="Arial" w:cs="Arial" w:eastAsia="Arial" w:hAnsi="Arial"/>
                <w:sz w:val="18"/>
                <w:szCs w:val="18"/>
                <w:color w:val="auto"/>
                <w:vertAlign w:val="superscript"/>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76,119</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76,119</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3"/>
                <w:szCs w:val="13"/>
                <w:color w:val="auto"/>
              </w:rPr>
              <w:t>David T. Hamamoto GRAT 2019 – SPAC</w:t>
            </w:r>
            <w:r>
              <w:rPr>
                <w:rFonts w:ascii="Arial" w:cs="Arial" w:eastAsia="Arial" w:hAnsi="Arial"/>
                <w:sz w:val="18"/>
                <w:szCs w:val="18"/>
                <w:color w:val="auto"/>
                <w:vertAlign w:val="superscript"/>
              </w:rPr>
              <w:t>(14)</w:t>
            </w:r>
          </w:p>
        </w:tc>
        <w:tc>
          <w:tcPr>
            <w:tcW w:w="720" w:type="dxa"/>
            <w:vAlign w:val="bottom"/>
          </w:tcPr>
          <w:p>
            <w:pPr>
              <w:jc w:val="right"/>
              <w:spacing w:after="0"/>
              <w:rPr>
                <w:sz w:val="20"/>
                <w:szCs w:val="20"/>
                <w:color w:val="auto"/>
              </w:rPr>
            </w:pPr>
            <w:r>
              <w:rPr>
                <w:rFonts w:ascii="Arial" w:cs="Arial" w:eastAsia="Arial" w:hAnsi="Arial"/>
                <w:sz w:val="14"/>
                <w:szCs w:val="14"/>
                <w:color w:val="auto"/>
              </w:rPr>
              <w:t>2,743,304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1,217,597</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2,743,304</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1,217,597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Dechomai Asset Trust</w:t>
            </w:r>
            <w:r>
              <w:rPr>
                <w:rFonts w:ascii="Arial" w:cs="Arial" w:eastAsia="Arial" w:hAnsi="Arial"/>
                <w:sz w:val="18"/>
                <w:szCs w:val="18"/>
                <w:color w:val="auto"/>
                <w:vertAlign w:val="superscript"/>
              </w:rPr>
              <w:t>(15)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3"/>
                <w:szCs w:val="13"/>
                <w:color w:val="auto"/>
              </w:rPr>
              <w:t>Diamond Head Partners LLC</w:t>
            </w:r>
            <w:r>
              <w:rPr>
                <w:rFonts w:ascii="Arial" w:cs="Arial" w:eastAsia="Arial" w:hAnsi="Arial"/>
                <w:sz w:val="18"/>
                <w:szCs w:val="18"/>
                <w:color w:val="auto"/>
                <w:vertAlign w:val="superscript"/>
              </w:rPr>
              <w:t>(16)</w:t>
            </w:r>
          </w:p>
        </w:tc>
        <w:tc>
          <w:tcPr>
            <w:tcW w:w="720" w:type="dxa"/>
            <w:vAlign w:val="bottom"/>
          </w:tcPr>
          <w:p>
            <w:pPr>
              <w:jc w:val="right"/>
              <w:spacing w:after="0"/>
              <w:rPr>
                <w:sz w:val="20"/>
                <w:szCs w:val="20"/>
                <w:color w:val="auto"/>
              </w:rPr>
            </w:pPr>
            <w:r>
              <w:rPr>
                <w:rFonts w:ascii="Arial" w:cs="Arial" w:eastAsia="Arial" w:hAnsi="Arial"/>
                <w:sz w:val="14"/>
                <w:szCs w:val="14"/>
                <w:color w:val="auto"/>
              </w:rPr>
              <w:t>1,409,712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608,799</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1,409,712</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608,799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Dominic Audino*</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25,253</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25,253</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Douglas Solomon*</w:t>
            </w:r>
          </w:p>
        </w:tc>
        <w:tc>
          <w:tcPr>
            <w:tcW w:w="720" w:type="dxa"/>
            <w:vAlign w:val="bottom"/>
          </w:tcPr>
          <w:p>
            <w:pPr>
              <w:jc w:val="right"/>
              <w:spacing w:after="0"/>
              <w:rPr>
                <w:sz w:val="20"/>
                <w:szCs w:val="20"/>
                <w:color w:val="auto"/>
              </w:rPr>
            </w:pPr>
            <w:r>
              <w:rPr>
                <w:rFonts w:ascii="Arial" w:cs="Arial" w:eastAsia="Arial" w:hAnsi="Arial"/>
                <w:sz w:val="14"/>
                <w:szCs w:val="14"/>
                <w:color w:val="auto"/>
              </w:rPr>
              <w:t>21,212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21,212</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Edward and Judy Ptaszek JT TEN</w:t>
            </w:r>
            <w:r>
              <w:rPr>
                <w:rFonts w:ascii="Arial" w:cs="Arial" w:eastAsia="Arial" w:hAnsi="Arial"/>
                <w:sz w:val="18"/>
                <w:szCs w:val="18"/>
                <w:color w:val="auto"/>
                <w:vertAlign w:val="superscript"/>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55,881</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3"/>
                <w:szCs w:val="13"/>
                <w:color w:val="auto"/>
              </w:rPr>
              <w:t>Edward M. Giles Exempt Trust UAD</w:t>
            </w:r>
            <w:r>
              <w:rPr>
                <w:rFonts w:ascii="Arial" w:cs="Arial" w:eastAsia="Arial" w:hAnsi="Arial"/>
                <w:sz w:val="18"/>
                <w:szCs w:val="18"/>
                <w:color w:val="auto"/>
                <w:vertAlign w:val="superscript"/>
              </w:rPr>
              <w:t>(18)</w:t>
            </w:r>
          </w:p>
        </w:tc>
        <w:tc>
          <w:tcPr>
            <w:tcW w:w="720" w:type="dxa"/>
            <w:vAlign w:val="bottom"/>
          </w:tcPr>
          <w:p>
            <w:pPr>
              <w:jc w:val="right"/>
              <w:spacing w:after="0"/>
              <w:rPr>
                <w:sz w:val="20"/>
                <w:szCs w:val="20"/>
                <w:color w:val="auto"/>
              </w:rPr>
            </w:pPr>
            <w:r>
              <w:rPr>
                <w:rFonts w:ascii="Arial" w:cs="Arial" w:eastAsia="Arial" w:hAnsi="Arial"/>
                <w:sz w:val="14"/>
                <w:szCs w:val="14"/>
                <w:color w:val="auto"/>
              </w:rPr>
              <w:t>225,940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225,940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Edward M. Giles GST Exempt Trust UAD 11/30/11</w:t>
            </w:r>
            <w:r>
              <w:rPr>
                <w:rFonts w:ascii="Arial" w:cs="Arial" w:eastAsia="Arial" w:hAnsi="Arial"/>
                <w:sz w:val="18"/>
                <w:szCs w:val="18"/>
                <w:color w:val="auto"/>
                <w:vertAlign w:val="superscript"/>
              </w:rPr>
              <w:t>(18)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30,304</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30,304</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3"/>
                <w:szCs w:val="13"/>
                <w:color w:val="auto"/>
              </w:rPr>
              <w:t>Edward M. Giles GST Exempt Trust UAD 12/27/19</w:t>
            </w:r>
            <w:r>
              <w:rPr>
                <w:rFonts w:ascii="Arial" w:cs="Arial" w:eastAsia="Arial" w:hAnsi="Arial"/>
                <w:sz w:val="18"/>
                <w:szCs w:val="18"/>
                <w:color w:val="auto"/>
                <w:vertAlign w:val="superscript"/>
              </w:rPr>
              <w:t>*(19)</w:t>
            </w:r>
          </w:p>
        </w:tc>
        <w:tc>
          <w:tcPr>
            <w:tcW w:w="720" w:type="dxa"/>
            <w:vAlign w:val="bottom"/>
          </w:tcPr>
          <w:p>
            <w:pPr>
              <w:jc w:val="right"/>
              <w:spacing w:after="0"/>
              <w:rPr>
                <w:sz w:val="20"/>
                <w:szCs w:val="20"/>
                <w:color w:val="auto"/>
              </w:rPr>
            </w:pPr>
            <w:r>
              <w:rPr>
                <w:rFonts w:ascii="Arial" w:cs="Arial" w:eastAsia="Arial" w:hAnsi="Arial"/>
                <w:sz w:val="14"/>
                <w:szCs w:val="14"/>
                <w:color w:val="auto"/>
              </w:rPr>
              <w:t>30,304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30,304</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Edward M. Giles Revocable Trust</w:t>
            </w:r>
            <w:r>
              <w:rPr>
                <w:rFonts w:ascii="Arial" w:cs="Arial" w:eastAsia="Arial" w:hAnsi="Arial"/>
                <w:sz w:val="18"/>
                <w:szCs w:val="18"/>
                <w:color w:val="auto"/>
                <w:vertAlign w:val="superscript"/>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393,585</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393,585</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3"/>
                <w:szCs w:val="13"/>
                <w:color w:val="auto"/>
              </w:rPr>
              <w:t>Erieview Acquisition LLC</w:t>
            </w:r>
            <w:r>
              <w:rPr>
                <w:rFonts w:ascii="Arial" w:cs="Arial" w:eastAsia="Arial" w:hAnsi="Arial"/>
                <w:sz w:val="18"/>
                <w:szCs w:val="18"/>
                <w:color w:val="auto"/>
                <w:vertAlign w:val="superscript"/>
              </w:rPr>
              <w:t>(21)</w:t>
            </w:r>
          </w:p>
        </w:tc>
        <w:tc>
          <w:tcPr>
            <w:tcW w:w="720" w:type="dxa"/>
            <w:vAlign w:val="bottom"/>
          </w:tcPr>
          <w:p>
            <w:pPr>
              <w:jc w:val="right"/>
              <w:spacing w:after="0"/>
              <w:rPr>
                <w:sz w:val="20"/>
                <w:szCs w:val="20"/>
                <w:color w:val="auto"/>
              </w:rPr>
            </w:pPr>
            <w:r>
              <w:rPr>
                <w:rFonts w:ascii="Arial" w:cs="Arial" w:eastAsia="Arial" w:hAnsi="Arial"/>
                <w:sz w:val="14"/>
                <w:szCs w:val="14"/>
                <w:color w:val="auto"/>
              </w:rPr>
              <w:t>139,704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139,704</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Ernest Mario</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148,572</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148,572</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3"/>
                <w:szCs w:val="13"/>
                <w:color w:val="auto"/>
              </w:rPr>
              <w:t>Ernest Mario Fifteen Year ResidenceTrust</w:t>
            </w:r>
            <w:r>
              <w:rPr>
                <w:rFonts w:ascii="Arial" w:cs="Arial" w:eastAsia="Arial" w:hAnsi="Arial"/>
                <w:sz w:val="18"/>
                <w:szCs w:val="18"/>
                <w:color w:val="auto"/>
                <w:vertAlign w:val="superscript"/>
              </w:rPr>
              <w:t>(22)</w:t>
            </w:r>
          </w:p>
        </w:tc>
        <w:tc>
          <w:tcPr>
            <w:tcW w:w="720" w:type="dxa"/>
            <w:vAlign w:val="bottom"/>
          </w:tcPr>
          <w:p>
            <w:pPr>
              <w:jc w:val="right"/>
              <w:spacing w:after="0"/>
              <w:rPr>
                <w:sz w:val="20"/>
                <w:szCs w:val="20"/>
                <w:color w:val="auto"/>
              </w:rPr>
            </w:pPr>
            <w:r>
              <w:rPr>
                <w:rFonts w:ascii="Arial" w:cs="Arial" w:eastAsia="Arial" w:hAnsi="Arial"/>
                <w:sz w:val="14"/>
                <w:szCs w:val="14"/>
                <w:color w:val="auto"/>
              </w:rPr>
              <w:t>102,020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102,020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08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Federated Hermes Kaufmann Small Cap Fund, a Portfolio of</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72"/>
        </w:trPr>
        <w:tc>
          <w:tcPr>
            <w:tcW w:w="408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3"/>
                <w:szCs w:val="13"/>
                <w:color w:val="auto"/>
              </w:rPr>
              <w:t>Federated Hermes Equity Funds</w:t>
            </w:r>
            <w:r>
              <w:rPr>
                <w:rFonts w:ascii="Arial" w:cs="Arial" w:eastAsia="Arial" w:hAnsi="Arial"/>
                <w:sz w:val="19"/>
                <w:szCs w:val="19"/>
                <w:color w:val="auto"/>
                <w:vertAlign w:val="superscript"/>
              </w:rPr>
              <w:t>(23)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1,500,000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30"/>
        </w:trPr>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FIAM Target Date Blue Chip Growth Commingled Pool By:</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4"/>
        </w:trPr>
        <w:tc>
          <w:tcPr>
            <w:tcW w:w="408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Fidelity Institutional Asset Management Trust Company as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81"/>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Trustee</w:t>
            </w:r>
            <w:r>
              <w:rPr>
                <w:rFonts w:ascii="Arial" w:cs="Arial" w:eastAsia="Arial" w:hAnsi="Arial"/>
                <w:sz w:val="21"/>
                <w:szCs w:val="21"/>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334,961</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334,961</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4"/>
              </w:rPr>
              <w:t>Shares of Class A</w:t>
            </w: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Warrants Beneficially</w:t>
            </w: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After the</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Owned After the</w:t>
            </w: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Offered Shares</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53"/>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Are Sold</w:t>
            </w: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r>
      <w:tr>
        <w:trPr>
          <w:trHeight w:val="110"/>
        </w:trPr>
        <w:tc>
          <w:tcPr>
            <w:tcW w:w="4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top w:val="single" w:sz="8" w:color="auto"/>
            </w:tcBorders>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1"/>
              </w:rPr>
              <w:t>Shares of</w:t>
            </w: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Class A</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Shares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Stock After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Class A</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Private</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Number of</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the Offered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Common</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Placement</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0"/>
              </w:rPr>
              <w:t>Shares of</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of Private</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Warrants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Class A</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Placement</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Class A</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Beneficially</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Common</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Warrants</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93"/>
              </w:rPr>
              <w:t>Owned Prior</w:t>
            </w:r>
          </w:p>
        </w:tc>
        <w:tc>
          <w:tcPr>
            <w:tcW w:w="84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2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85"/>
              </w:rPr>
              <w:t>Stock Being</w:t>
            </w:r>
          </w:p>
        </w:tc>
        <w:tc>
          <w:tcPr>
            <w:tcW w:w="70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82"/>
              </w:rPr>
              <w:t>Being</w:t>
            </w:r>
          </w:p>
        </w:tc>
        <w:tc>
          <w:tcPr>
            <w:tcW w:w="740" w:type="dxa"/>
            <w:vAlign w:val="bottom"/>
            <w:gridSpan w:val="2"/>
          </w:tcPr>
          <w:p>
            <w:pPr>
              <w:jc w:val="center"/>
              <w:ind w:right="120"/>
              <w:spacing w:after="0" w:line="127" w:lineRule="exact"/>
              <w:rPr>
                <w:sz w:val="20"/>
                <w:szCs w:val="20"/>
                <w:color w:val="auto"/>
              </w:rPr>
            </w:pPr>
            <w:r>
              <w:rPr>
                <w:rFonts w:ascii="Arial" w:cs="Arial" w:eastAsia="Arial" w:hAnsi="Arial"/>
                <w:sz w:val="13"/>
                <w:szCs w:val="13"/>
                <w:b w:val="1"/>
                <w:bCs w:val="1"/>
                <w:color w:val="auto"/>
                <w:w w:val="84"/>
              </w:rPr>
              <w:t>Stock</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2"/>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Name of Selling Securityholder</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to Offering</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to Offering</w:t>
            </w:r>
          </w:p>
        </w:tc>
        <w:tc>
          <w:tcPr>
            <w:tcW w:w="820" w:type="dxa"/>
            <w:vAlign w:val="bottom"/>
            <w:gridSpan w:val="2"/>
          </w:tcPr>
          <w:p>
            <w:pPr>
              <w:jc w:val="center"/>
              <w:ind w:right="140"/>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Offered</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Are Sold</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Number</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Percent</w:t>
            </w:r>
          </w:p>
        </w:tc>
      </w:tr>
      <w:tr>
        <w:trPr>
          <w:trHeight w:val="119"/>
        </w:trPr>
        <w:tc>
          <w:tcPr>
            <w:tcW w:w="404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color w:val="auto"/>
              </w:rPr>
              <w:t>Fidelity Advisor Series I: Fidelity Advisor Growth Opportunities</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72"/>
        </w:trPr>
        <w:tc>
          <w:tcPr>
            <w:tcW w:w="418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9"/>
                <w:szCs w:val="19"/>
                <w:color w:val="auto"/>
                <w:vertAlign w:val="subscript"/>
              </w:rPr>
              <w:t>Fund</w:t>
            </w:r>
            <w:r>
              <w:rPr>
                <w:rFonts w:ascii="Arial" w:cs="Arial" w:eastAsia="Arial" w:hAnsi="Arial"/>
                <w:sz w:val="9"/>
                <w:szCs w:val="9"/>
                <w:color w:val="auto"/>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828,055</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828,055</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tcPr>
          <w:p>
            <w:pPr>
              <w:spacing w:after="0" w:line="125" w:lineRule="exact"/>
              <w:rPr>
                <w:sz w:val="20"/>
                <w:szCs w:val="20"/>
                <w:color w:val="auto"/>
              </w:rPr>
            </w:pPr>
            <w:r>
              <w:rPr>
                <w:rFonts w:ascii="Arial" w:cs="Arial" w:eastAsia="Arial" w:hAnsi="Arial"/>
                <w:sz w:val="14"/>
                <w:szCs w:val="14"/>
                <w:color w:val="auto"/>
              </w:rPr>
              <w:t>Fidelity Advisor Series I: Fidelity Advisor Series Growth</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72"/>
        </w:trPr>
        <w:tc>
          <w:tcPr>
            <w:tcW w:w="4180" w:type="dxa"/>
            <w:vAlign w:val="bottom"/>
            <w:gridSpan w:val="2"/>
          </w:tcPr>
          <w:p>
            <w:pPr>
              <w:ind w:left="140"/>
              <w:spacing w:after="0" w:line="172" w:lineRule="exact"/>
              <w:rPr>
                <w:sz w:val="20"/>
                <w:szCs w:val="20"/>
                <w:color w:val="auto"/>
              </w:rPr>
            </w:pPr>
            <w:r>
              <w:rPr>
                <w:rFonts w:ascii="Arial" w:cs="Arial" w:eastAsia="Arial" w:hAnsi="Arial"/>
                <w:sz w:val="13"/>
                <w:szCs w:val="13"/>
                <w:color w:val="auto"/>
              </w:rPr>
              <w:t>Opportunities Fund</w:t>
            </w:r>
            <w:r>
              <w:rPr>
                <w:rFonts w:ascii="Arial" w:cs="Arial" w:eastAsia="Arial" w:hAnsi="Arial"/>
                <w:sz w:val="19"/>
                <w:szCs w:val="19"/>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41,185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41,185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Fidelity Blue Chip Growth Commingled Pool By: Fidelity</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72"/>
        </w:trPr>
        <w:tc>
          <w:tcPr>
            <w:tcW w:w="418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3"/>
                <w:szCs w:val="13"/>
                <w:color w:val="auto"/>
              </w:rPr>
              <w:t>Institutional Asset Management Trust Company as Trustee*</w:t>
            </w:r>
            <w:r>
              <w:rPr>
                <w:rFonts w:ascii="Arial" w:cs="Arial" w:eastAsia="Arial" w:hAnsi="Arial"/>
                <w:sz w:val="19"/>
                <w:szCs w:val="19"/>
                <w:color w:val="auto"/>
                <w:vertAlign w:val="superscript"/>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131,792</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131,792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tcPr>
          <w:p>
            <w:pPr>
              <w:spacing w:after="0" w:line="125" w:lineRule="exact"/>
              <w:rPr>
                <w:sz w:val="20"/>
                <w:szCs w:val="20"/>
                <w:color w:val="auto"/>
              </w:rPr>
            </w:pPr>
            <w:r>
              <w:rPr>
                <w:rFonts w:ascii="Arial" w:cs="Arial" w:eastAsia="Arial" w:hAnsi="Arial"/>
                <w:sz w:val="14"/>
                <w:szCs w:val="14"/>
                <w:color w:val="auto"/>
              </w:rPr>
              <w:t>Fidelity Blue Chip Growth Institutional Trust By its manager Fidelity</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72"/>
        </w:trPr>
        <w:tc>
          <w:tcPr>
            <w:tcW w:w="4180" w:type="dxa"/>
            <w:vAlign w:val="bottom"/>
            <w:gridSpan w:val="2"/>
          </w:tcPr>
          <w:p>
            <w:pPr>
              <w:ind w:left="140"/>
              <w:spacing w:after="0" w:line="172" w:lineRule="exact"/>
              <w:rPr>
                <w:sz w:val="20"/>
                <w:szCs w:val="20"/>
                <w:color w:val="auto"/>
              </w:rPr>
            </w:pPr>
            <w:r>
              <w:rPr>
                <w:rFonts w:ascii="Arial" w:cs="Arial" w:eastAsia="Arial" w:hAnsi="Arial"/>
                <w:sz w:val="13"/>
                <w:szCs w:val="13"/>
                <w:color w:val="auto"/>
              </w:rPr>
              <w:t>Investments Canada ULC</w:t>
            </w:r>
            <w:r>
              <w:rPr>
                <w:rFonts w:ascii="Arial" w:cs="Arial" w:eastAsia="Arial" w:hAnsi="Arial"/>
                <w:sz w:val="19"/>
                <w:szCs w:val="19"/>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12,008</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12,008</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Fidelity Growth Company Commingled Pool By: Fidelity</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72"/>
        </w:trPr>
        <w:tc>
          <w:tcPr>
            <w:tcW w:w="418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3"/>
                <w:szCs w:val="13"/>
                <w:color w:val="auto"/>
              </w:rPr>
              <w:t>Management Trust Company, as Trustee</w:t>
            </w:r>
            <w:r>
              <w:rPr>
                <w:rFonts w:ascii="Arial" w:cs="Arial" w:eastAsia="Arial" w:hAnsi="Arial"/>
                <w:sz w:val="19"/>
                <w:szCs w:val="19"/>
                <w:color w:val="auto"/>
                <w:vertAlign w:val="superscript"/>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2,028,480</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2,028,480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tcPr>
          <w:p>
            <w:pPr>
              <w:spacing w:after="0" w:line="162" w:lineRule="exact"/>
              <w:rPr>
                <w:sz w:val="20"/>
                <w:szCs w:val="20"/>
                <w:color w:val="auto"/>
              </w:rPr>
            </w:pPr>
            <w:r>
              <w:rPr>
                <w:rFonts w:ascii="Arial" w:cs="Arial" w:eastAsia="Arial" w:hAnsi="Arial"/>
                <w:sz w:val="13"/>
                <w:szCs w:val="13"/>
                <w:color w:val="auto"/>
              </w:rPr>
              <w:t>Fidelity Mt. Vernon Street Trust: Fidelity Growth Company Fund*</w:t>
            </w:r>
            <w:r>
              <w:rPr>
                <w:rFonts w:ascii="Arial" w:cs="Arial" w:eastAsia="Arial" w:hAnsi="Arial"/>
                <w:sz w:val="18"/>
                <w:szCs w:val="18"/>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2,232,387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2,232,387</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Fidelity Mt. Vernon Street Trust: Fidelity Growth Company K6</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72"/>
        </w:trPr>
        <w:tc>
          <w:tcPr>
            <w:tcW w:w="418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3"/>
                <w:szCs w:val="13"/>
                <w:color w:val="auto"/>
              </w:rPr>
              <w:t>Fund*</w:t>
            </w:r>
            <w:r>
              <w:rPr>
                <w:rFonts w:ascii="Arial" w:cs="Arial" w:eastAsia="Arial" w:hAnsi="Arial"/>
                <w:sz w:val="19"/>
                <w:szCs w:val="19"/>
                <w:color w:val="auto"/>
                <w:vertAlign w:val="superscript"/>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226,198</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226,198</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tcPr>
          <w:p>
            <w:pPr>
              <w:spacing w:after="0" w:line="125" w:lineRule="exact"/>
              <w:rPr>
                <w:sz w:val="20"/>
                <w:szCs w:val="20"/>
                <w:color w:val="auto"/>
              </w:rPr>
            </w:pPr>
            <w:r>
              <w:rPr>
                <w:rFonts w:ascii="Arial" w:cs="Arial" w:eastAsia="Arial" w:hAnsi="Arial"/>
                <w:sz w:val="14"/>
                <w:szCs w:val="14"/>
                <w:color w:val="auto"/>
              </w:rPr>
              <w:t>Fidelity Mt. Vernon Street Trust: Fidelity Series Growth Company</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72"/>
        </w:trPr>
        <w:tc>
          <w:tcPr>
            <w:tcW w:w="4180" w:type="dxa"/>
            <w:vAlign w:val="bottom"/>
            <w:gridSpan w:val="2"/>
          </w:tcPr>
          <w:p>
            <w:pPr>
              <w:ind w:left="140"/>
              <w:spacing w:after="0" w:line="172" w:lineRule="exact"/>
              <w:rPr>
                <w:sz w:val="20"/>
                <w:szCs w:val="20"/>
                <w:color w:val="auto"/>
              </w:rPr>
            </w:pPr>
            <w:r>
              <w:rPr>
                <w:rFonts w:ascii="Arial" w:cs="Arial" w:eastAsia="Arial" w:hAnsi="Arial"/>
                <w:sz w:val="13"/>
                <w:szCs w:val="13"/>
                <w:color w:val="auto"/>
              </w:rPr>
              <w:t>Fund*</w:t>
            </w:r>
            <w:r>
              <w:rPr>
                <w:rFonts w:ascii="Arial" w:cs="Arial" w:eastAsia="Arial" w:hAnsi="Arial"/>
                <w:sz w:val="19"/>
                <w:szCs w:val="19"/>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512,936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512,936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Fidelity Securities Fund: Fidelity Blue Chip Growth Fund*</w:t>
            </w:r>
            <w:r>
              <w:rPr>
                <w:rFonts w:ascii="Arial" w:cs="Arial" w:eastAsia="Arial" w:hAnsi="Arial"/>
                <w:sz w:val="18"/>
                <w:szCs w:val="18"/>
                <w:color w:val="auto"/>
                <w:vertAlign w:val="superscript"/>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3,573,266</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3,573,266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tcPr>
          <w:p>
            <w:pPr>
              <w:spacing w:after="0" w:line="162" w:lineRule="exact"/>
              <w:rPr>
                <w:sz w:val="20"/>
                <w:szCs w:val="20"/>
                <w:color w:val="auto"/>
              </w:rPr>
            </w:pPr>
            <w:r>
              <w:rPr>
                <w:rFonts w:ascii="Arial" w:cs="Arial" w:eastAsia="Arial" w:hAnsi="Arial"/>
                <w:sz w:val="13"/>
                <w:szCs w:val="13"/>
                <w:color w:val="auto"/>
              </w:rPr>
              <w:t>Fidelity Securities Fund: Fidelity Blue Chip Growth K6 Fund*</w:t>
            </w:r>
            <w:r>
              <w:rPr>
                <w:rFonts w:ascii="Arial" w:cs="Arial" w:eastAsia="Arial" w:hAnsi="Arial"/>
                <w:sz w:val="18"/>
                <w:szCs w:val="18"/>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366,333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366,333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Fidelity Securities Fund: Fidelity Flex Large Cap Growth Fund*(24)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5,676</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tcPr>
          <w:p>
            <w:pPr>
              <w:spacing w:after="0" w:line="162" w:lineRule="exact"/>
              <w:rPr>
                <w:sz w:val="20"/>
                <w:szCs w:val="20"/>
                <w:color w:val="auto"/>
              </w:rPr>
            </w:pPr>
            <w:r>
              <w:rPr>
                <w:rFonts w:ascii="Arial" w:cs="Arial" w:eastAsia="Arial" w:hAnsi="Arial"/>
                <w:sz w:val="13"/>
                <w:szCs w:val="13"/>
                <w:color w:val="auto"/>
              </w:rPr>
              <w:t>Fidelity Securities Fund: Fidelity Series Blue Chip Growth Fund*</w:t>
            </w:r>
            <w:r>
              <w:rPr>
                <w:rFonts w:ascii="Arial" w:cs="Arial" w:eastAsia="Arial" w:hAnsi="Arial"/>
                <w:sz w:val="18"/>
                <w:szCs w:val="18"/>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4"/>
                <w:szCs w:val="14"/>
                <w:color w:val="auto"/>
              </w:rPr>
              <w:t>575,965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575,965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Fidelity Select Portfolios: Select Automotive Portfolio*</w:t>
            </w:r>
            <w:r>
              <w:rPr>
                <w:rFonts w:ascii="Arial" w:cs="Arial" w:eastAsia="Arial" w:hAnsi="Arial"/>
                <w:sz w:val="18"/>
                <w:szCs w:val="18"/>
                <w:color w:val="auto"/>
                <w:vertAlign w:val="superscript"/>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12,513</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25"/>
        </w:trPr>
        <w:tc>
          <w:tcPr>
            <w:tcW w:w="4180" w:type="dxa"/>
            <w:vAlign w:val="bottom"/>
            <w:gridSpan w:val="2"/>
          </w:tcPr>
          <w:p>
            <w:pPr>
              <w:spacing w:after="0" w:line="125" w:lineRule="exact"/>
              <w:rPr>
                <w:sz w:val="20"/>
                <w:szCs w:val="20"/>
                <w:color w:val="auto"/>
              </w:rPr>
            </w:pPr>
            <w:r>
              <w:rPr>
                <w:rFonts w:ascii="Arial" w:cs="Arial" w:eastAsia="Arial" w:hAnsi="Arial"/>
                <w:sz w:val="14"/>
                <w:szCs w:val="14"/>
                <w:color w:val="auto"/>
              </w:rPr>
              <w:t>Fiduciary Trust as Custodian for The Edward M. Giles ROTH</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72"/>
        </w:trPr>
        <w:tc>
          <w:tcPr>
            <w:tcW w:w="4180" w:type="dxa"/>
            <w:vAlign w:val="bottom"/>
            <w:gridSpan w:val="2"/>
          </w:tcPr>
          <w:p>
            <w:pPr>
              <w:ind w:left="140"/>
              <w:spacing w:after="0" w:line="172" w:lineRule="exact"/>
              <w:rPr>
                <w:sz w:val="20"/>
                <w:szCs w:val="20"/>
                <w:color w:val="auto"/>
              </w:rPr>
            </w:pPr>
            <w:r>
              <w:rPr>
                <w:rFonts w:ascii="Arial" w:cs="Arial" w:eastAsia="Arial" w:hAnsi="Arial"/>
                <w:sz w:val="19"/>
                <w:szCs w:val="19"/>
                <w:color w:val="auto"/>
                <w:vertAlign w:val="subscript"/>
              </w:rPr>
              <w:t>IRA</w:t>
            </w:r>
            <w:r>
              <w:rPr>
                <w:rFonts w:ascii="Arial" w:cs="Arial" w:eastAsia="Arial" w:hAnsi="Arial"/>
                <w:sz w:val="9"/>
                <w:szCs w:val="9"/>
                <w:color w:val="auto"/>
              </w:rPr>
              <w:t>(25)</w:t>
            </w:r>
          </w:p>
        </w:tc>
        <w:tc>
          <w:tcPr>
            <w:tcW w:w="720" w:type="dxa"/>
            <w:vAlign w:val="bottom"/>
          </w:tcPr>
          <w:p>
            <w:pPr>
              <w:jc w:val="right"/>
              <w:spacing w:after="0"/>
              <w:rPr>
                <w:sz w:val="20"/>
                <w:szCs w:val="20"/>
                <w:color w:val="auto"/>
              </w:rPr>
            </w:pPr>
            <w:r>
              <w:rPr>
                <w:rFonts w:ascii="Arial" w:cs="Arial" w:eastAsia="Arial" w:hAnsi="Arial"/>
                <w:sz w:val="14"/>
                <w:szCs w:val="14"/>
                <w:color w:val="auto"/>
              </w:rPr>
              <w:t>30,304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30,304</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Flamingo Drive Partners LLC</w:t>
            </w:r>
            <w:r>
              <w:rPr>
                <w:rFonts w:ascii="Arial" w:cs="Arial" w:eastAsia="Arial" w:hAnsi="Arial"/>
                <w:sz w:val="18"/>
                <w:szCs w:val="18"/>
                <w:color w:val="auto"/>
                <w:vertAlign w:val="superscript"/>
              </w:rPr>
              <w:t>(26)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55,881</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55,881</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tcPr>
          <w:p>
            <w:pPr>
              <w:spacing w:after="0" w:line="162" w:lineRule="exact"/>
              <w:rPr>
                <w:sz w:val="20"/>
                <w:szCs w:val="20"/>
                <w:color w:val="auto"/>
              </w:rPr>
            </w:pPr>
            <w:r>
              <w:rPr>
                <w:rFonts w:ascii="Arial" w:cs="Arial" w:eastAsia="Arial" w:hAnsi="Arial"/>
                <w:sz w:val="13"/>
                <w:szCs w:val="13"/>
                <w:color w:val="auto"/>
              </w:rPr>
              <w:t>Frangos Properties Group LLC</w:t>
            </w:r>
            <w:r>
              <w:rPr>
                <w:rFonts w:ascii="Arial" w:cs="Arial" w:eastAsia="Arial" w:hAnsi="Arial"/>
                <w:sz w:val="18"/>
                <w:szCs w:val="18"/>
                <w:color w:val="auto"/>
                <w:vertAlign w:val="superscript"/>
              </w:rPr>
              <w:t>(27)</w:t>
            </w:r>
          </w:p>
        </w:tc>
        <w:tc>
          <w:tcPr>
            <w:tcW w:w="720" w:type="dxa"/>
            <w:vAlign w:val="bottom"/>
          </w:tcPr>
          <w:p>
            <w:pPr>
              <w:jc w:val="right"/>
              <w:spacing w:after="0"/>
              <w:rPr>
                <w:sz w:val="20"/>
                <w:szCs w:val="20"/>
                <w:color w:val="auto"/>
              </w:rPr>
            </w:pPr>
            <w:r>
              <w:rPr>
                <w:rFonts w:ascii="Arial" w:cs="Arial" w:eastAsia="Arial" w:hAnsi="Arial"/>
                <w:sz w:val="14"/>
                <w:szCs w:val="14"/>
                <w:color w:val="auto"/>
              </w:rPr>
              <w:t>42,500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42,500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41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Frank H. Moore*</w:t>
            </w:r>
            <w:r>
              <w:rPr>
                <w:rFonts w:ascii="Arial" w:cs="Arial" w:eastAsia="Arial" w:hAnsi="Arial"/>
                <w:sz w:val="18"/>
                <w:szCs w:val="18"/>
                <w:color w:val="auto"/>
                <w:vertAlign w:val="superscript"/>
              </w:rPr>
              <w:t>(28)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82"/>
        </w:trPr>
        <w:tc>
          <w:tcPr>
            <w:tcW w:w="4180" w:type="dxa"/>
            <w:vAlign w:val="bottom"/>
            <w:gridSpan w:val="2"/>
          </w:tcPr>
          <w:p>
            <w:pPr>
              <w:spacing w:after="0"/>
              <w:rPr>
                <w:sz w:val="20"/>
                <w:szCs w:val="20"/>
                <w:color w:val="auto"/>
              </w:rPr>
            </w:pPr>
            <w:r>
              <w:rPr>
                <w:rFonts w:ascii="Arial" w:cs="Arial" w:eastAsia="Arial" w:hAnsi="Arial"/>
                <w:sz w:val="14"/>
                <w:szCs w:val="14"/>
                <w:color w:val="auto"/>
              </w:rPr>
              <w:t>Garrett Paul Ederle</w:t>
            </w:r>
          </w:p>
        </w:tc>
        <w:tc>
          <w:tcPr>
            <w:tcW w:w="720" w:type="dxa"/>
            <w:vAlign w:val="bottom"/>
          </w:tcPr>
          <w:p>
            <w:pPr>
              <w:jc w:val="right"/>
              <w:spacing w:after="0"/>
              <w:rPr>
                <w:sz w:val="20"/>
                <w:szCs w:val="20"/>
                <w:color w:val="auto"/>
              </w:rPr>
            </w:pPr>
            <w:r>
              <w:rPr>
                <w:rFonts w:ascii="Arial" w:cs="Arial" w:eastAsia="Arial" w:hAnsi="Arial"/>
                <w:sz w:val="14"/>
                <w:szCs w:val="14"/>
                <w:color w:val="auto"/>
              </w:rPr>
              <w:t>16,302</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6,371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16,302</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6,371</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Shares of Class A</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Beneficially</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After the</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Owned After the</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Offered Shares</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Are Sold</w:t>
            </w: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r>
      <w:tr>
        <w:trPr>
          <w:trHeight w:val="110"/>
        </w:trPr>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top w:val="single" w:sz="8" w:color="auto"/>
            </w:tcBorders>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1"/>
              </w:rPr>
              <w:t>Shares of</w:t>
            </w: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of</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Stock After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Private</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Number</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the Offered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Placement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of</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of Private</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Shares 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Warrants</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Placement</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Warrants</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7"/>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90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4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85"/>
              </w:rPr>
              <w:t>Stock Being</w:t>
            </w: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82"/>
              </w:rPr>
              <w:t>Being</w:t>
            </w:r>
          </w:p>
        </w:tc>
        <w:tc>
          <w:tcPr>
            <w:tcW w:w="82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Name of Selling Securityholder</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to Offering</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to Offering</w:t>
            </w: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Offered</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Are Sold</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Percent</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640" w:type="dxa"/>
            <w:vAlign w:val="bottom"/>
          </w:tcPr>
          <w:p>
            <w:pPr>
              <w:jc w:val="right"/>
              <w:ind w:right="48"/>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Gavin A. Scotti, Jr.*</w:t>
            </w: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588,128</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563,128</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25,000</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r>
      <w:tr>
        <w:trPr>
          <w:trHeight w:val="148"/>
        </w:trPr>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Gavin A. Scotti, Sr.*</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50,506</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50,506</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F. Wood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1,037,347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1,037,347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3320" w:type="dxa"/>
            <w:vAlign w:val="bottom"/>
            <w:gridSpan w:val="2"/>
          </w:tcPr>
          <w:p>
            <w:pPr>
              <w:spacing w:after="0" w:line="149" w:lineRule="exact"/>
              <w:rPr>
                <w:sz w:val="20"/>
                <w:szCs w:val="20"/>
                <w:color w:val="auto"/>
              </w:rPr>
            </w:pPr>
            <w:r>
              <w:rPr>
                <w:rFonts w:ascii="Arial" w:cs="Arial" w:eastAsia="Arial" w:hAnsi="Arial"/>
                <w:sz w:val="12"/>
                <w:szCs w:val="12"/>
                <w:color w:val="auto"/>
              </w:rPr>
              <w:t>George Syrianoudis</w:t>
            </w:r>
            <w:r>
              <w:rPr>
                <w:rFonts w:ascii="Arial" w:cs="Arial" w:eastAsia="Arial" w:hAnsi="Arial"/>
                <w:sz w:val="17"/>
                <w:szCs w:val="17"/>
                <w:color w:val="auto"/>
                <w:vertAlign w:val="superscript"/>
              </w:rPr>
              <w:t>(72)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12,618</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12,547</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Giles Family 2015 Trust UAD 12/16/15</w:t>
            </w:r>
            <w:r>
              <w:rPr>
                <w:rFonts w:ascii="Arial" w:cs="Arial" w:eastAsia="Arial" w:hAnsi="Arial"/>
                <w:sz w:val="17"/>
                <w:szCs w:val="17"/>
                <w:color w:val="auto"/>
                <w:vertAlign w:val="superscript"/>
              </w:rPr>
              <w:t>(18)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197,949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197,949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Glenn Kunkel</w:t>
            </w:r>
          </w:p>
        </w:tc>
        <w:tc>
          <w:tcPr>
            <w:tcW w:w="720" w:type="dxa"/>
            <w:vAlign w:val="bottom"/>
          </w:tcPr>
          <w:p>
            <w:pPr>
              <w:jc w:val="right"/>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 Benjamin Samuels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106,387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106,387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Han Solutions II LLC</w:t>
            </w:r>
            <w:r>
              <w:rPr>
                <w:rFonts w:ascii="Arial" w:cs="Arial" w:eastAsia="Arial" w:hAnsi="Arial"/>
                <w:sz w:val="18"/>
                <w:szCs w:val="18"/>
                <w:color w:val="auto"/>
                <w:vertAlign w:val="superscript"/>
              </w:rPr>
              <w:t>(29)</w:t>
            </w:r>
          </w:p>
        </w:tc>
        <w:tc>
          <w:tcPr>
            <w:tcW w:w="720" w:type="dxa"/>
            <w:vAlign w:val="bottom"/>
          </w:tcPr>
          <w:p>
            <w:pPr>
              <w:jc w:val="right"/>
              <w:spacing w:after="0"/>
              <w:rPr>
                <w:sz w:val="20"/>
                <w:szCs w:val="20"/>
                <w:color w:val="auto"/>
              </w:rPr>
            </w:pPr>
            <w:r>
              <w:rPr>
                <w:rFonts w:ascii="Arial" w:cs="Arial" w:eastAsia="Arial" w:hAnsi="Arial"/>
                <w:sz w:val="14"/>
                <w:szCs w:val="14"/>
                <w:color w:val="auto"/>
              </w:rPr>
              <w:t>20,662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16,162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Harold S. Parnes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Henry Steeneck*</w:t>
            </w:r>
          </w:p>
        </w:tc>
        <w:tc>
          <w:tcPr>
            <w:tcW w:w="720" w:type="dxa"/>
            <w:vAlign w:val="bottom"/>
          </w:tcPr>
          <w:p>
            <w:pPr>
              <w:jc w:val="right"/>
              <w:spacing w:after="0"/>
              <w:rPr>
                <w:sz w:val="20"/>
                <w:szCs w:val="20"/>
                <w:color w:val="auto"/>
              </w:rPr>
            </w:pPr>
            <w:r>
              <w:rPr>
                <w:rFonts w:ascii="Arial" w:cs="Arial" w:eastAsia="Arial" w:hAnsi="Arial"/>
                <w:sz w:val="14"/>
                <w:szCs w:val="14"/>
                <w:color w:val="auto"/>
              </w:rPr>
              <w:t>42,795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42,795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Honus Group LLC</w:t>
            </w:r>
            <w:r>
              <w:rPr>
                <w:rFonts w:ascii="Arial" w:cs="Arial" w:eastAsia="Arial" w:hAnsi="Arial"/>
                <w:sz w:val="18"/>
                <w:szCs w:val="18"/>
                <w:color w:val="auto"/>
                <w:vertAlign w:val="superscript"/>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Howard W. Wilson</w:t>
            </w:r>
          </w:p>
        </w:tc>
        <w:tc>
          <w:tcPr>
            <w:tcW w:w="720" w:type="dxa"/>
            <w:vAlign w:val="bottom"/>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Ian Upton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Invader II LLC</w:t>
            </w:r>
            <w:r>
              <w:rPr>
                <w:rFonts w:ascii="Arial" w:cs="Arial" w:eastAsia="Arial" w:hAnsi="Arial"/>
                <w:sz w:val="18"/>
                <w:szCs w:val="18"/>
                <w:color w:val="auto"/>
                <w:vertAlign w:val="superscript"/>
              </w:rPr>
              <w:t>*(31)</w:t>
            </w:r>
          </w:p>
        </w:tc>
        <w:tc>
          <w:tcPr>
            <w:tcW w:w="720" w:type="dxa"/>
            <w:vAlign w:val="bottom"/>
          </w:tcPr>
          <w:p>
            <w:pPr>
              <w:jc w:val="right"/>
              <w:spacing w:after="0"/>
              <w:rPr>
                <w:sz w:val="20"/>
                <w:szCs w:val="20"/>
                <w:color w:val="auto"/>
              </w:rPr>
            </w:pPr>
            <w:r>
              <w:rPr>
                <w:rFonts w:ascii="Arial" w:cs="Arial" w:eastAsia="Arial" w:hAnsi="Arial"/>
                <w:sz w:val="14"/>
                <w:szCs w:val="14"/>
                <w:color w:val="auto"/>
              </w:rPr>
              <w:t>337,703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337,703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Jacob Cooper</w:t>
            </w:r>
            <w:r>
              <w:rPr>
                <w:rFonts w:ascii="Arial" w:cs="Arial" w:eastAsia="Arial" w:hAnsi="Arial"/>
                <w:sz w:val="18"/>
                <w:szCs w:val="18"/>
                <w:color w:val="auto"/>
                <w:vertAlign w:val="superscript"/>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James J. Dolan</w:t>
            </w:r>
            <w:r>
              <w:rPr>
                <w:rFonts w:ascii="Arial" w:cs="Arial" w:eastAsia="Arial" w:hAnsi="Arial"/>
                <w:sz w:val="18"/>
                <w:szCs w:val="18"/>
                <w:color w:val="auto"/>
                <w:vertAlign w:val="superscript"/>
              </w:rPr>
              <w:t>*(32)</w:t>
            </w:r>
          </w:p>
        </w:tc>
        <w:tc>
          <w:tcPr>
            <w:tcW w:w="720" w:type="dxa"/>
            <w:vAlign w:val="bottom"/>
          </w:tcPr>
          <w:p>
            <w:pPr>
              <w:jc w:val="right"/>
              <w:spacing w:after="0"/>
              <w:rPr>
                <w:sz w:val="20"/>
                <w:szCs w:val="20"/>
                <w:color w:val="auto"/>
              </w:rPr>
            </w:pPr>
            <w:r>
              <w:rPr>
                <w:rFonts w:ascii="Arial" w:cs="Arial" w:eastAsia="Arial" w:hAnsi="Arial"/>
                <w:sz w:val="14"/>
                <w:szCs w:val="14"/>
                <w:color w:val="auto"/>
              </w:rPr>
              <w:t>15,152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15,152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Janice &amp; Michael Drake Trust UAD</w:t>
            </w:r>
            <w:r>
              <w:rPr>
                <w:rFonts w:ascii="Arial" w:cs="Arial" w:eastAsia="Arial" w:hAnsi="Arial"/>
                <w:sz w:val="18"/>
                <w:szCs w:val="18"/>
                <w:color w:val="auto"/>
                <w:vertAlign w:val="superscript"/>
              </w:rPr>
              <w:t>*(33)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61,082</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Jeffrey Cook</w:t>
            </w:r>
          </w:p>
        </w:tc>
        <w:tc>
          <w:tcPr>
            <w:tcW w:w="720" w:type="dxa"/>
            <w:vAlign w:val="bottom"/>
          </w:tcPr>
          <w:p>
            <w:pPr>
              <w:jc w:val="right"/>
              <w:spacing w:after="0"/>
              <w:rPr>
                <w:sz w:val="20"/>
                <w:szCs w:val="20"/>
                <w:color w:val="auto"/>
              </w:rPr>
            </w:pPr>
            <w:r>
              <w:rPr>
                <w:rFonts w:ascii="Arial" w:cs="Arial" w:eastAsia="Arial" w:hAnsi="Arial"/>
                <w:sz w:val="14"/>
                <w:szCs w:val="14"/>
                <w:color w:val="auto"/>
              </w:rPr>
              <w:t>26,399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10,947</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26,399</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10,947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Jeremy Samuels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85,033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71,033</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Ji Yeong Ruggiere</w:t>
            </w:r>
          </w:p>
        </w:tc>
        <w:tc>
          <w:tcPr>
            <w:tcW w:w="720" w:type="dxa"/>
            <w:vAlign w:val="bottom"/>
          </w:tcPr>
          <w:p>
            <w:pPr>
              <w:jc w:val="right"/>
              <w:spacing w:after="0"/>
              <w:rPr>
                <w:sz w:val="20"/>
                <w:szCs w:val="20"/>
                <w:color w:val="auto"/>
              </w:rPr>
            </w:pPr>
            <w:r>
              <w:rPr>
                <w:rFonts w:ascii="Arial" w:cs="Arial" w:eastAsia="Arial" w:hAnsi="Arial"/>
                <w:sz w:val="14"/>
                <w:szCs w:val="14"/>
                <w:color w:val="auto"/>
              </w:rPr>
              <w:t>6,864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6,864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2,624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John R. Tilson Trust UAD 06/03/19</w:t>
            </w:r>
            <w:r>
              <w:rPr>
                <w:rFonts w:ascii="Arial" w:cs="Arial" w:eastAsia="Arial" w:hAnsi="Arial"/>
                <w:sz w:val="18"/>
                <w:szCs w:val="18"/>
                <w:color w:val="auto"/>
                <w:vertAlign w:val="superscript"/>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41,513</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John W. Shaffer</w:t>
            </w:r>
          </w:p>
        </w:tc>
        <w:tc>
          <w:tcPr>
            <w:tcW w:w="720" w:type="dxa"/>
            <w:vAlign w:val="bottom"/>
          </w:tcPr>
          <w:p>
            <w:pPr>
              <w:jc w:val="right"/>
              <w:spacing w:after="0"/>
              <w:rPr>
                <w:sz w:val="20"/>
                <w:szCs w:val="20"/>
                <w:color w:val="auto"/>
              </w:rPr>
            </w:pPr>
            <w:r>
              <w:rPr>
                <w:rFonts w:ascii="Arial" w:cs="Arial" w:eastAsia="Arial" w:hAnsi="Arial"/>
                <w:sz w:val="14"/>
                <w:szCs w:val="14"/>
                <w:color w:val="auto"/>
              </w:rPr>
              <w:t>7,197</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7,197</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John William Blaney*</w:t>
            </w:r>
            <w:r>
              <w:rPr>
                <w:rFonts w:ascii="Arial" w:cs="Arial" w:eastAsia="Arial" w:hAnsi="Arial"/>
                <w:sz w:val="18"/>
                <w:szCs w:val="18"/>
                <w:color w:val="auto"/>
                <w:vertAlign w:val="superscript"/>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5,023</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Joseph Gamberale</w:t>
            </w:r>
            <w:r>
              <w:rPr>
                <w:rFonts w:ascii="Arial" w:cs="Arial" w:eastAsia="Arial" w:hAnsi="Arial"/>
                <w:sz w:val="18"/>
                <w:szCs w:val="18"/>
                <w:color w:val="auto"/>
                <w:vertAlign w:val="superscript"/>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15,152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15,152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Judith Hannaway</w:t>
            </w:r>
            <w:r>
              <w:rPr>
                <w:rFonts w:ascii="Arial" w:cs="Arial" w:eastAsia="Arial" w:hAnsi="Arial"/>
                <w:sz w:val="18"/>
                <w:szCs w:val="18"/>
                <w:color w:val="auto"/>
                <w:vertAlign w:val="superscript"/>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88,357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88,357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Julio C. Rodriguez</w:t>
            </w:r>
            <w:r>
              <w:rPr>
                <w:rFonts w:ascii="Arial" w:cs="Arial" w:eastAsia="Arial" w:hAnsi="Arial"/>
                <w:sz w:val="18"/>
                <w:szCs w:val="18"/>
                <w:color w:val="auto"/>
                <w:vertAlign w:val="superscript"/>
              </w:rPr>
              <w:t>(37)</w:t>
            </w:r>
          </w:p>
        </w:tc>
        <w:tc>
          <w:tcPr>
            <w:tcW w:w="720" w:type="dxa"/>
            <w:vAlign w:val="bottom"/>
          </w:tcPr>
          <w:p>
            <w:pPr>
              <w:jc w:val="right"/>
              <w:spacing w:after="0"/>
              <w:rPr>
                <w:sz w:val="20"/>
                <w:szCs w:val="20"/>
                <w:color w:val="auto"/>
              </w:rPr>
            </w:pPr>
            <w:r>
              <w:rPr>
                <w:rFonts w:ascii="Arial" w:cs="Arial" w:eastAsia="Arial" w:hAnsi="Arial"/>
                <w:sz w:val="14"/>
                <w:szCs w:val="14"/>
                <w:color w:val="auto"/>
              </w:rPr>
              <w:t>558,862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34,080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524,782</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Keith Feldman</w:t>
            </w:r>
            <w:r>
              <w:rPr>
                <w:rFonts w:ascii="Arial" w:cs="Arial" w:eastAsia="Arial" w:hAnsi="Arial"/>
                <w:sz w:val="18"/>
                <w:szCs w:val="18"/>
                <w:color w:val="auto"/>
                <w:vertAlign w:val="superscript"/>
              </w:rPr>
              <w:t>(38)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234,645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91,613</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234,645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91,613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Keith M. Kleeman</w:t>
            </w:r>
          </w:p>
        </w:tc>
        <w:tc>
          <w:tcPr>
            <w:tcW w:w="720" w:type="dxa"/>
            <w:vAlign w:val="bottom"/>
          </w:tcPr>
          <w:p>
            <w:pPr>
              <w:jc w:val="right"/>
              <w:spacing w:after="0"/>
              <w:rPr>
                <w:sz w:val="20"/>
                <w:szCs w:val="20"/>
                <w:color w:val="auto"/>
              </w:rPr>
            </w:pPr>
            <w:r>
              <w:rPr>
                <w:rFonts w:ascii="Arial" w:cs="Arial" w:eastAsia="Arial" w:hAnsi="Arial"/>
                <w:sz w:val="14"/>
                <w:szCs w:val="14"/>
                <w:color w:val="auto"/>
              </w:rPr>
              <w:t>50,301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50,301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Kelly Griffin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117,965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117,965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Kenneth Beckerman</w:t>
            </w:r>
            <w:r>
              <w:rPr>
                <w:rFonts w:ascii="Arial" w:cs="Arial" w:eastAsia="Arial" w:hAnsi="Arial"/>
                <w:sz w:val="18"/>
                <w:szCs w:val="18"/>
                <w:color w:val="auto"/>
                <w:vertAlign w:val="superscript"/>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Kevin J. Harrington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Kyle Buchakjian</w:t>
            </w:r>
          </w:p>
        </w:tc>
        <w:tc>
          <w:tcPr>
            <w:tcW w:w="720" w:type="dxa"/>
            <w:vAlign w:val="bottom"/>
          </w:tcPr>
          <w:p>
            <w:pPr>
              <w:jc w:val="right"/>
              <w:spacing w:after="0"/>
              <w:rPr>
                <w:sz w:val="20"/>
                <w:szCs w:val="20"/>
                <w:color w:val="auto"/>
              </w:rPr>
            </w:pPr>
            <w:r>
              <w:rPr>
                <w:rFonts w:ascii="Arial" w:cs="Arial" w:eastAsia="Arial" w:hAnsi="Arial"/>
                <w:sz w:val="14"/>
                <w:szCs w:val="14"/>
                <w:color w:val="auto"/>
              </w:rPr>
              <w:t>41,500</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41,500</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Shares of Class A</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Beneficially</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After the</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Owned After the</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Offered Shares</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Are Sold</w:t>
            </w: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r>
      <w:tr>
        <w:trPr>
          <w:trHeight w:val="110"/>
        </w:trPr>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top w:val="single" w:sz="8" w:color="auto"/>
            </w:tcBorders>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1"/>
              </w:rPr>
              <w:t>Shares of</w:t>
            </w: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of</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Stock After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Private</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Number</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the Offered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Placement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of</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of Private</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Shares 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Warrants</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Placement</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Warrants</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7"/>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90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4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85"/>
              </w:rPr>
              <w:t>Stock Being</w:t>
            </w: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82"/>
              </w:rPr>
              <w:t>Being</w:t>
            </w:r>
          </w:p>
        </w:tc>
        <w:tc>
          <w:tcPr>
            <w:tcW w:w="82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Name of Selling Securityholder</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to Offering</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to Offering</w:t>
            </w: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Offered</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Are Sold</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Percent</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640" w:type="dxa"/>
            <w:vAlign w:val="bottom"/>
          </w:tcPr>
          <w:p>
            <w:pPr>
              <w:jc w:val="right"/>
              <w:ind w:right="48"/>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Kyriakos Mihalitsis</w:t>
            </w: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4,608</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1,762</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4,608</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1,762</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r>
      <w:tr>
        <w:trPr>
          <w:trHeight w:val="148"/>
        </w:trPr>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Laurence Zalk*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15,057</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15,057</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Lawrence &amp; Susan Wilson JT TEN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84,653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84,453</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49"/>
        </w:trPr>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Liang S. Wu</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LWMM LLC</w:t>
            </w:r>
            <w:r>
              <w:rPr>
                <w:rFonts w:ascii="Arial" w:cs="Arial" w:eastAsia="Arial" w:hAnsi="Arial"/>
                <w:sz w:val="17"/>
                <w:szCs w:val="17"/>
                <w:color w:val="auto"/>
                <w:vertAlign w:val="superscript"/>
              </w:rPr>
              <w:t>(39)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139,604</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139,604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Manuel Z. Rios &amp; Gloria P Rios JT TEN</w:t>
            </w:r>
          </w:p>
        </w:tc>
        <w:tc>
          <w:tcPr>
            <w:tcW w:w="720" w:type="dxa"/>
            <w:vAlign w:val="bottom"/>
          </w:tcPr>
          <w:p>
            <w:pPr>
              <w:jc w:val="right"/>
              <w:spacing w:after="0"/>
              <w:rPr>
                <w:sz w:val="20"/>
                <w:szCs w:val="20"/>
                <w:color w:val="auto"/>
              </w:rPr>
            </w:pPr>
            <w:r>
              <w:rPr>
                <w:rFonts w:ascii="Arial" w:cs="Arial" w:eastAsia="Arial" w:hAnsi="Arial"/>
                <w:sz w:val="14"/>
                <w:szCs w:val="14"/>
                <w:color w:val="auto"/>
              </w:rPr>
              <w:t>81,578</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81,578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 Lehmann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95,152</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Margate Partners</w:t>
            </w:r>
          </w:p>
        </w:tc>
        <w:tc>
          <w:tcPr>
            <w:tcW w:w="720" w:type="dxa"/>
            <w:vAlign w:val="bottom"/>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Mark A. Walsh</w:t>
            </w:r>
            <w:r>
              <w:rPr>
                <w:rFonts w:ascii="Arial" w:cs="Arial" w:eastAsia="Arial" w:hAnsi="Arial"/>
                <w:sz w:val="18"/>
                <w:szCs w:val="18"/>
                <w:color w:val="auto"/>
                <w:vertAlign w:val="superscript"/>
              </w:rPr>
              <w:t>(40)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649,667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16,917</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649,667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16,917</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Mark G. Christiana</w:t>
            </w:r>
          </w:p>
        </w:tc>
        <w:tc>
          <w:tcPr>
            <w:tcW w:w="720" w:type="dxa"/>
            <w:vAlign w:val="bottom"/>
          </w:tcPr>
          <w:p>
            <w:pPr>
              <w:jc w:val="right"/>
              <w:spacing w:after="0"/>
              <w:rPr>
                <w:sz w:val="20"/>
                <w:szCs w:val="20"/>
                <w:color w:val="auto"/>
              </w:rPr>
            </w:pPr>
            <w:r>
              <w:rPr>
                <w:rFonts w:ascii="Arial" w:cs="Arial" w:eastAsia="Arial" w:hAnsi="Arial"/>
                <w:sz w:val="14"/>
                <w:szCs w:val="14"/>
                <w:color w:val="auto"/>
              </w:rPr>
              <w:t>72,439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72,439</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Marmatt LLC</w:t>
            </w:r>
            <w:r>
              <w:rPr>
                <w:rFonts w:ascii="Arial" w:cs="Arial" w:eastAsia="Arial" w:hAnsi="Arial"/>
                <w:sz w:val="18"/>
                <w:szCs w:val="18"/>
                <w:color w:val="auto"/>
                <w:vertAlign w:val="superscript"/>
              </w:rPr>
              <w:t>(41)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53,427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49,227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Martin Rucidlo</w:t>
            </w:r>
            <w:r>
              <w:rPr>
                <w:rFonts w:ascii="Arial" w:cs="Arial" w:eastAsia="Arial" w:hAnsi="Arial"/>
                <w:sz w:val="18"/>
                <w:szCs w:val="18"/>
                <w:color w:val="auto"/>
                <w:vertAlign w:val="superscript"/>
              </w:rPr>
              <w:t>(42)</w:t>
            </w:r>
          </w:p>
        </w:tc>
        <w:tc>
          <w:tcPr>
            <w:tcW w:w="720" w:type="dxa"/>
            <w:vAlign w:val="bottom"/>
          </w:tcPr>
          <w:p>
            <w:pPr>
              <w:jc w:val="right"/>
              <w:spacing w:after="0"/>
              <w:rPr>
                <w:sz w:val="20"/>
                <w:szCs w:val="20"/>
                <w:color w:val="auto"/>
              </w:rPr>
            </w:pPr>
            <w:r>
              <w:rPr>
                <w:rFonts w:ascii="Arial" w:cs="Arial" w:eastAsia="Arial" w:hAnsi="Arial"/>
                <w:sz w:val="14"/>
                <w:szCs w:val="14"/>
                <w:color w:val="auto"/>
              </w:rPr>
              <w:t>20,754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7,535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13,219</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Martin Thomas Booher</w:t>
            </w:r>
            <w:r>
              <w:rPr>
                <w:rFonts w:ascii="Arial" w:cs="Arial" w:eastAsia="Arial" w:hAnsi="Arial"/>
                <w:sz w:val="18"/>
                <w:szCs w:val="18"/>
                <w:color w:val="auto"/>
                <w:vertAlign w:val="superscript"/>
              </w:rPr>
              <w:t>(43)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Masood A. Bhatti</w:t>
            </w:r>
          </w:p>
        </w:tc>
        <w:tc>
          <w:tcPr>
            <w:tcW w:w="720" w:type="dxa"/>
            <w:vAlign w:val="bottom"/>
          </w:tcPr>
          <w:p>
            <w:pPr>
              <w:jc w:val="right"/>
              <w:spacing w:after="0"/>
              <w:rPr>
                <w:sz w:val="20"/>
                <w:szCs w:val="20"/>
                <w:color w:val="auto"/>
              </w:rPr>
            </w:pPr>
            <w:r>
              <w:rPr>
                <w:rFonts w:ascii="Arial" w:cs="Arial" w:eastAsia="Arial" w:hAnsi="Arial"/>
                <w:sz w:val="14"/>
                <w:szCs w:val="14"/>
                <w:color w:val="auto"/>
              </w:rPr>
              <w:t>66,751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66,751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2,624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Medford Bragg</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162,269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162,269</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Melissa Leonard</w:t>
            </w:r>
            <w:r>
              <w:rPr>
                <w:rFonts w:ascii="Arial" w:cs="Arial" w:eastAsia="Arial" w:hAnsi="Arial"/>
                <w:sz w:val="18"/>
                <w:szCs w:val="18"/>
                <w:color w:val="auto"/>
                <w:vertAlign w:val="superscript"/>
              </w:rPr>
              <w:t>(44)</w:t>
            </w:r>
          </w:p>
        </w:tc>
        <w:tc>
          <w:tcPr>
            <w:tcW w:w="720" w:type="dxa"/>
            <w:vAlign w:val="bottom"/>
          </w:tcPr>
          <w:p>
            <w:pPr>
              <w:jc w:val="right"/>
              <w:spacing w:after="0"/>
              <w:rPr>
                <w:sz w:val="20"/>
                <w:szCs w:val="20"/>
                <w:color w:val="auto"/>
              </w:rPr>
            </w:pPr>
            <w:r>
              <w:rPr>
                <w:rFonts w:ascii="Arial" w:cs="Arial" w:eastAsia="Arial" w:hAnsi="Arial"/>
                <w:sz w:val="14"/>
                <w:szCs w:val="14"/>
                <w:color w:val="auto"/>
              </w:rPr>
              <w:t>156,651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34,046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122,605</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MGC Properties LLC</w:t>
            </w:r>
            <w:r>
              <w:rPr>
                <w:rFonts w:ascii="Arial" w:cs="Arial" w:eastAsia="Arial" w:hAnsi="Arial"/>
                <w:sz w:val="18"/>
                <w:szCs w:val="18"/>
                <w:color w:val="auto"/>
                <w:vertAlign w:val="superscript"/>
              </w:rPr>
              <w:t>(45)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Michael &amp; Diane W. Gibbons JT TEN</w:t>
            </w:r>
            <w:r>
              <w:rPr>
                <w:rFonts w:ascii="Arial" w:cs="Arial" w:eastAsia="Arial" w:hAnsi="Arial"/>
                <w:sz w:val="18"/>
                <w:szCs w:val="18"/>
                <w:color w:val="auto"/>
                <w:vertAlign w:val="superscript"/>
              </w:rPr>
              <w:t>(46)</w:t>
            </w:r>
          </w:p>
        </w:tc>
        <w:tc>
          <w:tcPr>
            <w:tcW w:w="720" w:type="dxa"/>
            <w:vAlign w:val="bottom"/>
          </w:tcPr>
          <w:p>
            <w:pPr>
              <w:jc w:val="right"/>
              <w:spacing w:after="0"/>
              <w:rPr>
                <w:sz w:val="20"/>
                <w:szCs w:val="20"/>
                <w:color w:val="auto"/>
              </w:rPr>
            </w:pPr>
            <w:r>
              <w:rPr>
                <w:rFonts w:ascii="Arial" w:cs="Arial" w:eastAsia="Arial" w:hAnsi="Arial"/>
                <w:sz w:val="14"/>
                <w:szCs w:val="14"/>
                <w:color w:val="auto"/>
              </w:rPr>
              <w:t>282,342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282,342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Michael D. Gates</w:t>
            </w:r>
            <w:r>
              <w:rPr>
                <w:rFonts w:ascii="Arial" w:cs="Arial" w:eastAsia="Arial" w:hAnsi="Arial"/>
                <w:sz w:val="18"/>
                <w:szCs w:val="18"/>
                <w:color w:val="auto"/>
                <w:vertAlign w:val="superscript"/>
              </w:rPr>
              <w:t>(47)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Michael Franzese</w:t>
            </w:r>
          </w:p>
        </w:tc>
        <w:tc>
          <w:tcPr>
            <w:tcW w:w="720" w:type="dxa"/>
            <w:vAlign w:val="bottom"/>
          </w:tcPr>
          <w:p>
            <w:pPr>
              <w:jc w:val="right"/>
              <w:spacing w:after="0"/>
              <w:rPr>
                <w:sz w:val="20"/>
                <w:szCs w:val="20"/>
                <w:color w:val="auto"/>
              </w:rPr>
            </w:pPr>
            <w:r>
              <w:rPr>
                <w:rFonts w:ascii="Arial" w:cs="Arial" w:eastAsia="Arial" w:hAnsi="Arial"/>
                <w:sz w:val="14"/>
                <w:szCs w:val="14"/>
                <w:color w:val="auto"/>
              </w:rPr>
              <w:t>15,285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5,248</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15,285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5,248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Michael Kolodny Revocable Trust Dated 2/13/97</w:t>
            </w:r>
            <w:r>
              <w:rPr>
                <w:rFonts w:ascii="Arial" w:cs="Arial" w:eastAsia="Arial" w:hAnsi="Arial"/>
                <w:sz w:val="18"/>
                <w:szCs w:val="18"/>
                <w:color w:val="auto"/>
                <w:vertAlign w:val="superscript"/>
              </w:rPr>
              <w:t>(48)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Michael Randall</w:t>
            </w:r>
          </w:p>
        </w:tc>
        <w:tc>
          <w:tcPr>
            <w:tcW w:w="720" w:type="dxa"/>
            <w:vAlign w:val="bottom"/>
          </w:tcPr>
          <w:p>
            <w:pPr>
              <w:jc w:val="right"/>
              <w:spacing w:after="0"/>
              <w:rPr>
                <w:sz w:val="20"/>
                <w:szCs w:val="20"/>
                <w:color w:val="auto"/>
              </w:rPr>
            </w:pPr>
            <w:r>
              <w:rPr>
                <w:rFonts w:ascii="Arial" w:cs="Arial" w:eastAsia="Arial" w:hAnsi="Arial"/>
                <w:sz w:val="14"/>
                <w:szCs w:val="14"/>
                <w:color w:val="auto"/>
              </w:rPr>
              <w:t>65,900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Michael Solomon</w:t>
            </w:r>
            <w:r>
              <w:rPr>
                <w:rFonts w:ascii="Arial" w:cs="Arial" w:eastAsia="Arial" w:hAnsi="Arial"/>
                <w:sz w:val="18"/>
                <w:szCs w:val="18"/>
                <w:color w:val="auto"/>
                <w:vertAlign w:val="superscript"/>
              </w:rPr>
              <w:t>(49)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1,112,000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1,000,000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Michael T. Drake</w:t>
            </w:r>
          </w:p>
        </w:tc>
        <w:tc>
          <w:tcPr>
            <w:tcW w:w="720" w:type="dxa"/>
            <w:vAlign w:val="bottom"/>
          </w:tcPr>
          <w:p>
            <w:pPr>
              <w:jc w:val="right"/>
              <w:spacing w:after="0"/>
              <w:rPr>
                <w:sz w:val="20"/>
                <w:szCs w:val="20"/>
                <w:color w:val="auto"/>
              </w:rPr>
            </w:pPr>
            <w:r>
              <w:rPr>
                <w:rFonts w:ascii="Arial" w:cs="Arial" w:eastAsia="Arial" w:hAnsi="Arial"/>
                <w:sz w:val="14"/>
                <w:szCs w:val="14"/>
                <w:color w:val="auto"/>
              </w:rPr>
              <w:t>14,459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9,054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5,405</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Mickey W. Kowitz</w:t>
            </w:r>
            <w:r>
              <w:rPr>
                <w:rFonts w:ascii="Arial" w:cs="Arial" w:eastAsia="Arial" w:hAnsi="Arial"/>
                <w:sz w:val="18"/>
                <w:szCs w:val="18"/>
                <w:color w:val="auto"/>
                <w:vertAlign w:val="superscript"/>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Mildred Martha Mario Exempt Trust</w:t>
            </w:r>
            <w:r>
              <w:rPr>
                <w:rFonts w:ascii="Arial" w:cs="Arial" w:eastAsia="Arial" w:hAnsi="Arial"/>
                <w:sz w:val="18"/>
                <w:szCs w:val="18"/>
                <w:color w:val="auto"/>
                <w:vertAlign w:val="superscript"/>
              </w:rPr>
              <w:t>(51)</w:t>
            </w:r>
          </w:p>
        </w:tc>
        <w:tc>
          <w:tcPr>
            <w:tcW w:w="720" w:type="dxa"/>
            <w:vAlign w:val="bottom"/>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Mildred Martha Mario Nonelective Trust</w:t>
            </w:r>
            <w:r>
              <w:rPr>
                <w:rFonts w:ascii="Arial" w:cs="Arial" w:eastAsia="Arial" w:hAnsi="Arial"/>
                <w:sz w:val="18"/>
                <w:szCs w:val="18"/>
                <w:color w:val="auto"/>
                <w:vertAlign w:val="superscript"/>
              </w:rPr>
              <w:t>(52)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113,900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Millie LLC</w:t>
            </w:r>
            <w:r>
              <w:rPr>
                <w:rFonts w:ascii="Arial" w:cs="Arial" w:eastAsia="Arial" w:hAnsi="Arial"/>
                <w:sz w:val="18"/>
                <w:szCs w:val="18"/>
                <w:color w:val="auto"/>
                <w:vertAlign w:val="superscript"/>
              </w:rPr>
              <w:t>(53)</w:t>
            </w:r>
          </w:p>
        </w:tc>
        <w:tc>
          <w:tcPr>
            <w:tcW w:w="720" w:type="dxa"/>
            <w:vAlign w:val="bottom"/>
          </w:tcPr>
          <w:p>
            <w:pPr>
              <w:jc w:val="right"/>
              <w:spacing w:after="0"/>
              <w:rPr>
                <w:sz w:val="20"/>
                <w:szCs w:val="20"/>
                <w:color w:val="auto"/>
              </w:rPr>
            </w:pPr>
            <w:r>
              <w:rPr>
                <w:rFonts w:ascii="Arial" w:cs="Arial" w:eastAsia="Arial" w:hAnsi="Arial"/>
                <w:sz w:val="14"/>
                <w:szCs w:val="14"/>
                <w:color w:val="auto"/>
              </w:rPr>
              <w:t>24,000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24,000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Nancy Hu</w:t>
            </w:r>
            <w:r>
              <w:rPr>
                <w:rFonts w:ascii="Arial" w:cs="Arial" w:eastAsia="Arial" w:hAnsi="Arial"/>
                <w:sz w:val="18"/>
                <w:szCs w:val="18"/>
                <w:color w:val="auto"/>
                <w:vertAlign w:val="superscript"/>
              </w:rPr>
              <w:t>*(54)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3"/>
                <w:szCs w:val="13"/>
                <w:color w:val="auto"/>
              </w:rPr>
              <w:t>New Era Capital Fund LP</w:t>
            </w:r>
            <w:r>
              <w:rPr>
                <w:rFonts w:ascii="Arial" w:cs="Arial" w:eastAsia="Arial" w:hAnsi="Arial"/>
                <w:sz w:val="18"/>
                <w:szCs w:val="18"/>
                <w:color w:val="auto"/>
                <w:vertAlign w:val="superscript"/>
              </w:rPr>
              <w:t>*(55)</w:t>
            </w:r>
          </w:p>
        </w:tc>
        <w:tc>
          <w:tcPr>
            <w:tcW w:w="720" w:type="dxa"/>
            <w:vAlign w:val="bottom"/>
          </w:tcPr>
          <w:p>
            <w:pPr>
              <w:jc w:val="right"/>
              <w:spacing w:after="0"/>
              <w:rPr>
                <w:sz w:val="20"/>
                <w:szCs w:val="20"/>
                <w:color w:val="auto"/>
              </w:rPr>
            </w:pPr>
            <w:r>
              <w:rPr>
                <w:rFonts w:ascii="Arial" w:cs="Arial" w:eastAsia="Arial" w:hAnsi="Arial"/>
                <w:sz w:val="14"/>
                <w:szCs w:val="14"/>
                <w:color w:val="auto"/>
              </w:rPr>
              <w:t>101,013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101,013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Norman Ravski</w:t>
            </w:r>
            <w:r>
              <w:rPr>
                <w:rFonts w:ascii="Arial" w:cs="Arial" w:eastAsia="Arial" w:hAnsi="Arial"/>
                <w:sz w:val="18"/>
                <w:szCs w:val="18"/>
                <w:color w:val="auto"/>
                <w:vertAlign w:val="superscript"/>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66,613</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Shares of Class A</w:t>
            </w: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Private Placement</w:t>
            </w: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Warrants Beneficially</w:t>
            </w: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After the</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Owned After the</w:t>
            </w: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Offered Shares</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of Class A</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r>
      <w:tr>
        <w:trPr>
          <w:trHeight w:val="153"/>
        </w:trPr>
        <w:tc>
          <w:tcPr>
            <w:tcW w:w="2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Are Sold</w:t>
            </w: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Are Sold</w:t>
            </w:r>
          </w:p>
        </w:tc>
      </w:tr>
      <w:tr>
        <w:trPr>
          <w:trHeight w:val="110"/>
        </w:trPr>
        <w:tc>
          <w:tcPr>
            <w:tcW w:w="2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Borders>
              <w:top w:val="single" w:sz="8" w:color="auto"/>
            </w:tcBorders>
          </w:tcPr>
          <w:p>
            <w:pPr>
              <w:jc w:val="center"/>
              <w:ind w:right="77"/>
              <w:spacing w:after="0" w:line="110" w:lineRule="exact"/>
              <w:rPr>
                <w:sz w:val="20"/>
                <w:szCs w:val="20"/>
                <w:color w:val="auto"/>
              </w:rPr>
            </w:pPr>
            <w:r>
              <w:rPr>
                <w:rFonts w:ascii="Arial" w:cs="Arial" w:eastAsia="Arial" w:hAnsi="Arial"/>
                <w:sz w:val="12"/>
                <w:szCs w:val="12"/>
                <w:b w:val="1"/>
                <w:bCs w:val="1"/>
                <w:color w:val="auto"/>
                <w:w w:val="91"/>
              </w:rPr>
              <w:t>Shares of</w:t>
            </w: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7"/>
              </w:rPr>
              <w:t>Class A</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Common</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jc w:val="center"/>
              <w:ind w:left="657"/>
              <w:spacing w:after="0" w:line="135" w:lineRule="exact"/>
              <w:rPr>
                <w:sz w:val="20"/>
                <w:szCs w:val="20"/>
                <w:color w:val="auto"/>
              </w:rPr>
            </w:pPr>
            <w:r>
              <w:rPr>
                <w:rFonts w:ascii="Arial" w:cs="Arial" w:eastAsia="Arial" w:hAnsi="Arial"/>
                <w:sz w:val="13"/>
                <w:szCs w:val="13"/>
                <w:b w:val="1"/>
                <w:bCs w:val="1"/>
                <w:color w:val="auto"/>
                <w:w w:val="84"/>
              </w:rPr>
              <w:t>Shares of</w:t>
            </w: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Stock After</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jc w:val="center"/>
              <w:ind w:left="637"/>
              <w:spacing w:after="0" w:line="135" w:lineRule="exact"/>
              <w:rPr>
                <w:sz w:val="20"/>
                <w:szCs w:val="20"/>
                <w:color w:val="auto"/>
              </w:rPr>
            </w:pPr>
            <w:r>
              <w:rPr>
                <w:rFonts w:ascii="Arial" w:cs="Arial" w:eastAsia="Arial" w:hAnsi="Arial"/>
                <w:sz w:val="13"/>
                <w:szCs w:val="13"/>
                <w:b w:val="1"/>
                <w:bCs w:val="1"/>
                <w:color w:val="auto"/>
                <w:w w:val="83"/>
              </w:rPr>
              <w:t>Class A</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Private</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Number</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the Offered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jc w:val="center"/>
              <w:ind w:left="657"/>
              <w:spacing w:after="0" w:line="135" w:lineRule="exact"/>
              <w:rPr>
                <w:sz w:val="20"/>
                <w:szCs w:val="20"/>
                <w:color w:val="auto"/>
              </w:rPr>
            </w:pPr>
            <w:r>
              <w:rPr>
                <w:rFonts w:ascii="Arial" w:cs="Arial" w:eastAsia="Arial" w:hAnsi="Arial"/>
                <w:sz w:val="13"/>
                <w:szCs w:val="13"/>
                <w:b w:val="1"/>
                <w:bCs w:val="1"/>
                <w:color w:val="auto"/>
                <w:w w:val="88"/>
              </w:rPr>
              <w:t>Common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of Private</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Shares of</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jc w:val="center"/>
              <w:ind w:left="657"/>
              <w:spacing w:after="0" w:line="135" w:lineRule="exact"/>
              <w:rPr>
                <w:sz w:val="20"/>
                <w:szCs w:val="20"/>
                <w:color w:val="auto"/>
              </w:rPr>
            </w:pPr>
            <w:r>
              <w:rPr>
                <w:rFonts w:ascii="Arial" w:cs="Arial" w:eastAsia="Arial" w:hAnsi="Arial"/>
                <w:sz w:val="13"/>
                <w:szCs w:val="13"/>
                <w:b w:val="1"/>
                <w:bCs w:val="1"/>
                <w:color w:val="auto"/>
                <w:w w:val="84"/>
              </w:rPr>
              <w:t>Stock</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Placement</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7"/>
              </w:rPr>
              <w:t>Class A</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620" w:type="dxa"/>
            <w:vAlign w:val="bottom"/>
          </w:tcPr>
          <w:p>
            <w:pPr>
              <w:jc w:val="center"/>
              <w:ind w:left="657"/>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Beneficially</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Warrants</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Common</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520" w:type="dxa"/>
            <w:vAlign w:val="bottom"/>
          </w:tcPr>
          <w:p>
            <w:pPr>
              <w:spacing w:after="0"/>
              <w:rPr>
                <w:sz w:val="11"/>
                <w:szCs w:val="11"/>
                <w:color w:val="auto"/>
              </w:rPr>
            </w:pPr>
          </w:p>
        </w:tc>
        <w:tc>
          <w:tcPr>
            <w:tcW w:w="1620" w:type="dxa"/>
            <w:vAlign w:val="bottom"/>
          </w:tcPr>
          <w:p>
            <w:pPr>
              <w:jc w:val="center"/>
              <w:ind w:left="657"/>
              <w:spacing w:after="0" w:line="127" w:lineRule="exact"/>
              <w:rPr>
                <w:sz w:val="20"/>
                <w:szCs w:val="20"/>
                <w:color w:val="auto"/>
              </w:rPr>
            </w:pPr>
            <w:r>
              <w:rPr>
                <w:rFonts w:ascii="Arial" w:cs="Arial" w:eastAsia="Arial" w:hAnsi="Arial"/>
                <w:sz w:val="13"/>
                <w:szCs w:val="13"/>
                <w:b w:val="1"/>
                <w:bCs w:val="1"/>
                <w:color w:val="auto"/>
                <w:w w:val="90"/>
              </w:rPr>
              <w:t>Owned Prior</w:t>
            </w:r>
          </w:p>
        </w:tc>
        <w:tc>
          <w:tcPr>
            <w:tcW w:w="8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3"/>
              </w:rPr>
              <w:t>Owned Prior</w:t>
            </w:r>
          </w:p>
        </w:tc>
        <w:tc>
          <w:tcPr>
            <w:tcW w:w="8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85"/>
              </w:rPr>
              <w:t>Stock Being</w:t>
            </w:r>
          </w:p>
        </w:tc>
        <w:tc>
          <w:tcPr>
            <w:tcW w:w="900" w:type="dxa"/>
            <w:vAlign w:val="bottom"/>
          </w:tcPr>
          <w:p>
            <w:pPr>
              <w:jc w:val="center"/>
              <w:ind w:right="37"/>
              <w:spacing w:after="0" w:line="127" w:lineRule="exact"/>
              <w:rPr>
                <w:sz w:val="20"/>
                <w:szCs w:val="20"/>
                <w:color w:val="auto"/>
              </w:rPr>
            </w:pPr>
            <w:r>
              <w:rPr>
                <w:rFonts w:ascii="Arial" w:cs="Arial" w:eastAsia="Arial" w:hAnsi="Arial"/>
                <w:sz w:val="13"/>
                <w:szCs w:val="13"/>
                <w:b w:val="1"/>
                <w:bCs w:val="1"/>
                <w:color w:val="auto"/>
                <w:w w:val="88"/>
              </w:rPr>
              <w:t>Being</w:t>
            </w:r>
          </w:p>
        </w:tc>
        <w:tc>
          <w:tcPr>
            <w:tcW w:w="800" w:type="dxa"/>
            <w:vAlign w:val="bottom"/>
          </w:tcPr>
          <w:p>
            <w:pPr>
              <w:jc w:val="center"/>
              <w:ind w:right="77"/>
              <w:spacing w:after="0" w:line="127"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520" w:type="dxa"/>
            <w:vAlign w:val="bottom"/>
          </w:tcPr>
          <w:p>
            <w:pPr>
              <w:spacing w:after="0"/>
              <w:rPr>
                <w:sz w:val="20"/>
                <w:szCs w:val="20"/>
                <w:color w:val="auto"/>
              </w:rPr>
            </w:pPr>
            <w:r>
              <w:rPr>
                <w:rFonts w:ascii="Arial" w:cs="Arial" w:eastAsia="Arial" w:hAnsi="Arial"/>
                <w:sz w:val="13"/>
                <w:szCs w:val="13"/>
                <w:b w:val="1"/>
                <w:bCs w:val="1"/>
                <w:color w:val="auto"/>
              </w:rPr>
              <w:t>Name of Selling Securityholder</w:t>
            </w:r>
          </w:p>
        </w:tc>
        <w:tc>
          <w:tcPr>
            <w:tcW w:w="1620" w:type="dxa"/>
            <w:vAlign w:val="bottom"/>
          </w:tcPr>
          <w:p>
            <w:pPr>
              <w:jc w:val="center"/>
              <w:ind w:left="637"/>
              <w:spacing w:after="0"/>
              <w:rPr>
                <w:sz w:val="20"/>
                <w:szCs w:val="20"/>
                <w:color w:val="auto"/>
              </w:rPr>
            </w:pPr>
            <w:r>
              <w:rPr>
                <w:rFonts w:ascii="Arial" w:cs="Arial" w:eastAsia="Arial" w:hAnsi="Arial"/>
                <w:sz w:val="13"/>
                <w:szCs w:val="13"/>
                <w:b w:val="1"/>
                <w:bCs w:val="1"/>
                <w:color w:val="auto"/>
                <w:w w:val="90"/>
              </w:rPr>
              <w:t>to Offering</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to Offering</w:t>
            </w:r>
          </w:p>
        </w:tc>
        <w:tc>
          <w:tcPr>
            <w:tcW w:w="84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Offered</w:t>
            </w: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Are Sold</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Percent</w:t>
            </w:r>
          </w:p>
        </w:tc>
        <w:tc>
          <w:tcPr>
            <w:tcW w:w="740" w:type="dxa"/>
            <w:vAlign w:val="bottom"/>
          </w:tcPr>
          <w:p>
            <w:pPr>
              <w:ind w:left="100"/>
              <w:spacing w:after="0"/>
              <w:rPr>
                <w:sz w:val="20"/>
                <w:szCs w:val="20"/>
                <w:color w:val="auto"/>
              </w:rPr>
            </w:pPr>
            <w:r>
              <w:rPr>
                <w:rFonts w:ascii="Arial" w:cs="Arial" w:eastAsia="Arial" w:hAnsi="Arial"/>
                <w:sz w:val="13"/>
                <w:szCs w:val="13"/>
                <w:b w:val="1"/>
                <w:bCs w:val="1"/>
                <w:color w:val="auto"/>
              </w:rPr>
              <w:t>Number</w:t>
            </w:r>
          </w:p>
        </w:tc>
        <w:tc>
          <w:tcPr>
            <w:tcW w:w="740" w:type="dxa"/>
            <w:vAlign w:val="bottom"/>
          </w:tcPr>
          <w:p>
            <w:pPr>
              <w:ind w:left="200"/>
              <w:spacing w:after="0"/>
              <w:rPr>
                <w:sz w:val="20"/>
                <w:szCs w:val="20"/>
                <w:color w:val="auto"/>
              </w:rPr>
            </w:pPr>
            <w:r>
              <w:rPr>
                <w:rFonts w:ascii="Arial" w:cs="Arial" w:eastAsia="Arial" w:hAnsi="Arial"/>
                <w:sz w:val="13"/>
                <w:szCs w:val="13"/>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1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color w:val="auto"/>
              </w:rPr>
              <w:t>Patricia Avery</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10,101</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0</w:t>
            </w:r>
          </w:p>
        </w:tc>
      </w:tr>
      <w:tr>
        <w:trPr>
          <w:trHeight w:val="153"/>
        </w:trPr>
        <w:tc>
          <w:tcPr>
            <w:tcW w:w="3340" w:type="dxa"/>
            <w:vAlign w:val="bottom"/>
            <w:gridSpan w:val="3"/>
          </w:tcPr>
          <w:p>
            <w:pPr>
              <w:spacing w:after="0" w:line="153" w:lineRule="exact"/>
              <w:rPr>
                <w:sz w:val="20"/>
                <w:szCs w:val="20"/>
                <w:color w:val="auto"/>
              </w:rPr>
            </w:pPr>
            <w:r>
              <w:rPr>
                <w:rFonts w:ascii="Arial" w:cs="Arial" w:eastAsia="Arial" w:hAnsi="Arial"/>
                <w:sz w:val="12"/>
                <w:szCs w:val="12"/>
                <w:color w:val="auto"/>
              </w:rPr>
              <w:t>Patrick &amp; Mary Ellen McCullough JT TEN</w:t>
            </w:r>
            <w:r>
              <w:rPr>
                <w:rFonts w:ascii="Arial" w:cs="Arial" w:eastAsia="Arial" w:hAnsi="Arial"/>
                <w:sz w:val="17"/>
                <w:szCs w:val="17"/>
                <w:color w:val="auto"/>
                <w:vertAlign w:val="superscript"/>
              </w:rPr>
              <w:t>(56)</w:t>
            </w:r>
          </w:p>
        </w:tc>
        <w:tc>
          <w:tcPr>
            <w:tcW w:w="700" w:type="dxa"/>
            <w:vAlign w:val="bottom"/>
          </w:tcPr>
          <w:p>
            <w:pPr>
              <w:jc w:val="right"/>
              <w:spacing w:after="0" w:line="153" w:lineRule="exact"/>
              <w:rPr>
                <w:sz w:val="20"/>
                <w:szCs w:val="20"/>
                <w:color w:val="auto"/>
              </w:rPr>
            </w:pPr>
            <w:r>
              <w:rPr>
                <w:rFonts w:ascii="Arial" w:cs="Arial" w:eastAsia="Arial" w:hAnsi="Arial"/>
                <w:sz w:val="14"/>
                <w:szCs w:val="14"/>
                <w:color w:val="auto"/>
              </w:rPr>
              <w:t>180,289</w:t>
            </w:r>
          </w:p>
        </w:tc>
        <w:tc>
          <w:tcPr>
            <w:tcW w:w="18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0</w:t>
            </w:r>
          </w:p>
        </w:tc>
      </w:tr>
      <w:tr>
        <w:trPr>
          <w:trHeight w:val="148"/>
        </w:trPr>
        <w:tc>
          <w:tcPr>
            <w:tcW w:w="3340" w:type="dxa"/>
            <w:vAlign w:val="bottom"/>
            <w:gridSpan w:val="3"/>
          </w:tcPr>
          <w:p>
            <w:pPr>
              <w:spacing w:after="0" w:line="149" w:lineRule="exact"/>
              <w:rPr>
                <w:sz w:val="20"/>
                <w:szCs w:val="20"/>
                <w:color w:val="auto"/>
              </w:rPr>
            </w:pPr>
            <w:r>
              <w:rPr>
                <w:rFonts w:ascii="Arial" w:cs="Arial" w:eastAsia="Arial" w:hAnsi="Arial"/>
                <w:sz w:val="14"/>
                <w:szCs w:val="14"/>
                <w:color w:val="auto"/>
              </w:rPr>
              <w:t>Paul A. McAlpine*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48,142</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4"/>
        </w:trPr>
        <w:tc>
          <w:tcPr>
            <w:tcW w:w="3340" w:type="dxa"/>
            <w:vAlign w:val="bottom"/>
            <w:gridSpan w:val="3"/>
          </w:tcPr>
          <w:p>
            <w:pPr>
              <w:spacing w:after="0" w:line="144" w:lineRule="exact"/>
              <w:rPr>
                <w:sz w:val="20"/>
                <w:szCs w:val="20"/>
                <w:color w:val="auto"/>
              </w:rPr>
            </w:pPr>
            <w:r>
              <w:rPr>
                <w:rFonts w:ascii="Arial" w:cs="Arial" w:eastAsia="Arial" w:hAnsi="Arial"/>
                <w:sz w:val="14"/>
                <w:szCs w:val="14"/>
                <w:color w:val="auto"/>
              </w:rPr>
              <w:t>Payton Gutting</w:t>
            </w:r>
          </w:p>
        </w:tc>
        <w:tc>
          <w:tcPr>
            <w:tcW w:w="700" w:type="dxa"/>
            <w:vAlign w:val="bottom"/>
          </w:tcPr>
          <w:p>
            <w:pPr>
              <w:jc w:val="right"/>
              <w:spacing w:after="0" w:line="144" w:lineRule="exact"/>
              <w:rPr>
                <w:sz w:val="20"/>
                <w:szCs w:val="20"/>
                <w:color w:val="auto"/>
              </w:rPr>
            </w:pPr>
            <w:r>
              <w:rPr>
                <w:rFonts w:ascii="Arial" w:cs="Arial" w:eastAsia="Arial" w:hAnsi="Arial"/>
                <w:sz w:val="14"/>
                <w:szCs w:val="14"/>
                <w:color w:val="auto"/>
              </w:rPr>
              <w:t>753</w:t>
            </w:r>
          </w:p>
        </w:tc>
        <w:tc>
          <w:tcPr>
            <w:tcW w:w="1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4"/>
                <w:szCs w:val="14"/>
                <w:color w:val="auto"/>
              </w:rPr>
              <w:t>288</w:t>
            </w:r>
          </w:p>
        </w:tc>
      </w:tr>
      <w:tr>
        <w:trPr>
          <w:trHeight w:val="162"/>
        </w:trPr>
        <w:tc>
          <w:tcPr>
            <w:tcW w:w="3340" w:type="dxa"/>
            <w:vAlign w:val="bottom"/>
            <w:gridSpan w:val="3"/>
          </w:tcPr>
          <w:p>
            <w:pPr>
              <w:spacing w:after="0" w:line="162" w:lineRule="exact"/>
              <w:rPr>
                <w:sz w:val="20"/>
                <w:szCs w:val="20"/>
                <w:color w:val="auto"/>
              </w:rPr>
            </w:pPr>
            <w:r>
              <w:rPr>
                <w:rFonts w:ascii="Arial" w:cs="Arial" w:eastAsia="Arial" w:hAnsi="Arial"/>
                <w:sz w:val="13"/>
                <w:szCs w:val="13"/>
                <w:color w:val="auto"/>
              </w:rPr>
              <w:t>Phil Richard Schmidt*</w:t>
            </w:r>
            <w:r>
              <w:rPr>
                <w:rFonts w:ascii="Arial" w:cs="Arial" w:eastAsia="Arial" w:hAnsi="Arial"/>
                <w:sz w:val="18"/>
                <w:szCs w:val="18"/>
                <w:color w:val="auto"/>
                <w:vertAlign w:val="superscript"/>
              </w:rPr>
              <w:t>(57)</w:t>
            </w:r>
          </w:p>
        </w:tc>
        <w:tc>
          <w:tcPr>
            <w:tcW w:w="700" w:type="dxa"/>
            <w:vAlign w:val="bottom"/>
          </w:tcPr>
          <w:p>
            <w:pPr>
              <w:jc w:val="right"/>
              <w:spacing w:after="0"/>
              <w:rPr>
                <w:sz w:val="20"/>
                <w:szCs w:val="20"/>
                <w:color w:val="auto"/>
              </w:rPr>
            </w:pPr>
            <w:r>
              <w:rPr>
                <w:rFonts w:ascii="Arial" w:cs="Arial" w:eastAsia="Arial" w:hAnsi="Arial"/>
                <w:sz w:val="14"/>
                <w:szCs w:val="14"/>
                <w:color w:val="auto"/>
              </w:rPr>
              <w:t>334,148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7"/>
        </w:trPr>
        <w:tc>
          <w:tcPr>
            <w:tcW w:w="3340" w:type="dxa"/>
            <w:vAlign w:val="bottom"/>
            <w:gridSpan w:val="3"/>
          </w:tcPr>
          <w:p>
            <w:pPr>
              <w:spacing w:after="0" w:line="166" w:lineRule="exact"/>
              <w:rPr>
                <w:sz w:val="20"/>
                <w:szCs w:val="20"/>
                <w:color w:val="auto"/>
              </w:rPr>
            </w:pPr>
            <w:r>
              <w:rPr>
                <w:rFonts w:ascii="Arial" w:cs="Arial" w:eastAsia="Arial" w:hAnsi="Arial"/>
                <w:sz w:val="13"/>
                <w:szCs w:val="13"/>
                <w:color w:val="auto"/>
              </w:rPr>
              <w:t>Primary Investments LLC*</w:t>
            </w:r>
            <w:r>
              <w:rPr>
                <w:rFonts w:ascii="Arial" w:cs="Arial" w:eastAsia="Arial" w:hAnsi="Arial"/>
                <w:sz w:val="19"/>
                <w:szCs w:val="19"/>
                <w:color w:val="auto"/>
                <w:vertAlign w:val="superscript"/>
              </w:rPr>
              <w:t>(58)</w:t>
            </w:r>
          </w:p>
        </w:tc>
        <w:tc>
          <w:tcPr>
            <w:tcW w:w="700" w:type="dxa"/>
            <w:vAlign w:val="bottom"/>
          </w:tcPr>
          <w:p>
            <w:pPr>
              <w:jc w:val="right"/>
              <w:spacing w:after="0"/>
              <w:rPr>
                <w:sz w:val="20"/>
                <w:szCs w:val="20"/>
                <w:color w:val="auto"/>
              </w:rPr>
            </w:pPr>
            <w:r>
              <w:rPr>
                <w:rFonts w:ascii="Arial" w:cs="Arial" w:eastAsia="Arial" w:hAnsi="Arial"/>
                <w:sz w:val="14"/>
                <w:szCs w:val="14"/>
                <w:color w:val="auto"/>
              </w:rPr>
              <w:t>50,506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Randall L. &amp; Noreen Cochran JT TEN</w:t>
            </w:r>
          </w:p>
        </w:tc>
        <w:tc>
          <w:tcPr>
            <w:tcW w:w="700" w:type="dxa"/>
            <w:vAlign w:val="bottom"/>
          </w:tcPr>
          <w:p>
            <w:pPr>
              <w:jc w:val="right"/>
              <w:spacing w:after="0"/>
              <w:rPr>
                <w:sz w:val="20"/>
                <w:szCs w:val="20"/>
                <w:color w:val="auto"/>
              </w:rPr>
            </w:pPr>
            <w:r>
              <w:rPr>
                <w:rFonts w:ascii="Arial" w:cs="Arial" w:eastAsia="Arial" w:hAnsi="Arial"/>
                <w:sz w:val="14"/>
                <w:szCs w:val="14"/>
                <w:color w:val="auto"/>
              </w:rPr>
              <w:t>40,000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Reuben Taub*</w:t>
            </w:r>
          </w:p>
        </w:tc>
        <w:tc>
          <w:tcPr>
            <w:tcW w:w="700" w:type="dxa"/>
            <w:vAlign w:val="bottom"/>
          </w:tcPr>
          <w:p>
            <w:pPr>
              <w:jc w:val="right"/>
              <w:spacing w:after="0"/>
              <w:rPr>
                <w:sz w:val="20"/>
                <w:szCs w:val="20"/>
                <w:color w:val="auto"/>
              </w:rPr>
            </w:pPr>
            <w:r>
              <w:rPr>
                <w:rFonts w:ascii="Arial" w:cs="Arial" w:eastAsia="Arial" w:hAnsi="Arial"/>
                <w:sz w:val="14"/>
                <w:szCs w:val="14"/>
                <w:color w:val="auto"/>
              </w:rPr>
              <w:t>30,115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57"/>
        </w:trPr>
        <w:tc>
          <w:tcPr>
            <w:tcW w:w="3340" w:type="dxa"/>
            <w:vAlign w:val="bottom"/>
            <w:gridSpan w:val="3"/>
          </w:tcPr>
          <w:p>
            <w:pPr>
              <w:spacing w:after="0" w:line="157" w:lineRule="exact"/>
              <w:rPr>
                <w:sz w:val="20"/>
                <w:szCs w:val="20"/>
                <w:color w:val="auto"/>
              </w:rPr>
            </w:pPr>
            <w:r>
              <w:rPr>
                <w:rFonts w:ascii="Arial" w:cs="Arial" w:eastAsia="Arial" w:hAnsi="Arial"/>
                <w:sz w:val="14"/>
                <w:szCs w:val="14"/>
                <w:color w:val="auto"/>
              </w:rPr>
              <w:t>Ricky Solomon</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55,316</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0</w:t>
            </w:r>
          </w:p>
        </w:tc>
      </w:tr>
      <w:tr>
        <w:trPr>
          <w:trHeight w:val="167"/>
        </w:trPr>
        <w:tc>
          <w:tcPr>
            <w:tcW w:w="3340" w:type="dxa"/>
            <w:vAlign w:val="bottom"/>
            <w:gridSpan w:val="3"/>
          </w:tcPr>
          <w:p>
            <w:pPr>
              <w:spacing w:after="0" w:line="166" w:lineRule="exact"/>
              <w:rPr>
                <w:sz w:val="20"/>
                <w:szCs w:val="20"/>
                <w:color w:val="auto"/>
              </w:rPr>
            </w:pPr>
            <w:r>
              <w:rPr>
                <w:rFonts w:ascii="Arial" w:cs="Arial" w:eastAsia="Arial" w:hAnsi="Arial"/>
                <w:sz w:val="13"/>
                <w:szCs w:val="13"/>
                <w:color w:val="auto"/>
              </w:rPr>
              <w:t>Riverview Group LLC*</w:t>
            </w:r>
            <w:r>
              <w:rPr>
                <w:rFonts w:ascii="Arial" w:cs="Arial" w:eastAsia="Arial" w:hAnsi="Arial"/>
                <w:sz w:val="19"/>
                <w:szCs w:val="19"/>
                <w:color w:val="auto"/>
                <w:vertAlign w:val="superscript"/>
              </w:rPr>
              <w:t>(59)</w:t>
            </w:r>
          </w:p>
        </w:tc>
        <w:tc>
          <w:tcPr>
            <w:tcW w:w="700" w:type="dxa"/>
            <w:vAlign w:val="bottom"/>
          </w:tcPr>
          <w:p>
            <w:pPr>
              <w:jc w:val="right"/>
              <w:spacing w:after="0"/>
              <w:rPr>
                <w:sz w:val="20"/>
                <w:szCs w:val="20"/>
                <w:color w:val="auto"/>
              </w:rPr>
            </w:pPr>
            <w:r>
              <w:rPr>
                <w:rFonts w:ascii="Arial" w:cs="Arial" w:eastAsia="Arial" w:hAnsi="Arial"/>
                <w:sz w:val="14"/>
                <w:szCs w:val="14"/>
                <w:color w:val="auto"/>
              </w:rPr>
              <w:t>800,000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&amp; Abigail A. Ruhlman JT TEN*</w:t>
            </w:r>
          </w:p>
        </w:tc>
        <w:tc>
          <w:tcPr>
            <w:tcW w:w="700" w:type="dxa"/>
            <w:vAlign w:val="bottom"/>
          </w:tcPr>
          <w:p>
            <w:pPr>
              <w:jc w:val="right"/>
              <w:spacing w:after="0"/>
              <w:rPr>
                <w:sz w:val="20"/>
                <w:szCs w:val="20"/>
                <w:color w:val="auto"/>
              </w:rPr>
            </w:pPr>
            <w:r>
              <w:rPr>
                <w:rFonts w:ascii="Arial" w:cs="Arial" w:eastAsia="Arial" w:hAnsi="Arial"/>
                <w:sz w:val="14"/>
                <w:szCs w:val="14"/>
                <w:color w:val="auto"/>
              </w:rPr>
              <w:t>141,198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Berman*</w:t>
            </w:r>
          </w:p>
        </w:tc>
        <w:tc>
          <w:tcPr>
            <w:tcW w:w="700" w:type="dxa"/>
            <w:vAlign w:val="bottom"/>
          </w:tcPr>
          <w:p>
            <w:pPr>
              <w:jc w:val="right"/>
              <w:spacing w:after="0"/>
              <w:rPr>
                <w:sz w:val="20"/>
                <w:szCs w:val="20"/>
                <w:color w:val="auto"/>
              </w:rPr>
            </w:pPr>
            <w:r>
              <w:rPr>
                <w:rFonts w:ascii="Arial" w:cs="Arial" w:eastAsia="Arial" w:hAnsi="Arial"/>
                <w:sz w:val="14"/>
                <w:szCs w:val="14"/>
                <w:color w:val="auto"/>
              </w:rPr>
              <w:t>10,101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C. Eising</w:t>
            </w:r>
          </w:p>
        </w:tc>
        <w:tc>
          <w:tcPr>
            <w:tcW w:w="700" w:type="dxa"/>
            <w:vAlign w:val="bottom"/>
          </w:tcPr>
          <w:p>
            <w:pPr>
              <w:jc w:val="right"/>
              <w:spacing w:after="0"/>
              <w:rPr>
                <w:sz w:val="20"/>
                <w:szCs w:val="20"/>
                <w:color w:val="auto"/>
              </w:rPr>
            </w:pPr>
            <w:r>
              <w:rPr>
                <w:rFonts w:ascii="Arial" w:cs="Arial" w:eastAsia="Arial" w:hAnsi="Arial"/>
                <w:sz w:val="14"/>
                <w:szCs w:val="14"/>
                <w:color w:val="auto"/>
              </w:rPr>
              <w:t>13,301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Coffey</w:t>
            </w:r>
          </w:p>
        </w:tc>
        <w:tc>
          <w:tcPr>
            <w:tcW w:w="700" w:type="dxa"/>
            <w:vAlign w:val="bottom"/>
          </w:tcPr>
          <w:p>
            <w:pPr>
              <w:jc w:val="right"/>
              <w:spacing w:after="0"/>
              <w:rPr>
                <w:sz w:val="20"/>
                <w:szCs w:val="20"/>
                <w:color w:val="auto"/>
              </w:rPr>
            </w:pPr>
            <w:r>
              <w:rPr>
                <w:rFonts w:ascii="Arial" w:cs="Arial" w:eastAsia="Arial" w:hAnsi="Arial"/>
                <w:sz w:val="14"/>
                <w:szCs w:val="14"/>
                <w:color w:val="auto"/>
              </w:rPr>
              <w:t>5,030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H. Chicoine Jr.</w:t>
            </w:r>
          </w:p>
        </w:tc>
        <w:tc>
          <w:tcPr>
            <w:tcW w:w="700" w:type="dxa"/>
            <w:vAlign w:val="bottom"/>
          </w:tcPr>
          <w:p>
            <w:pPr>
              <w:jc w:val="right"/>
              <w:spacing w:after="0"/>
              <w:rPr>
                <w:sz w:val="20"/>
                <w:szCs w:val="20"/>
                <w:color w:val="auto"/>
              </w:rPr>
            </w:pPr>
            <w:r>
              <w:rPr>
                <w:rFonts w:ascii="Arial" w:cs="Arial" w:eastAsia="Arial" w:hAnsi="Arial"/>
                <w:sz w:val="14"/>
                <w:szCs w:val="14"/>
                <w:color w:val="auto"/>
              </w:rPr>
              <w:t>71,664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Kromer and Emily Berry*</w:t>
            </w:r>
          </w:p>
        </w:tc>
        <w:tc>
          <w:tcPr>
            <w:tcW w:w="700" w:type="dxa"/>
            <w:vAlign w:val="bottom"/>
          </w:tcPr>
          <w:p>
            <w:pPr>
              <w:jc w:val="right"/>
              <w:spacing w:after="0"/>
              <w:rPr>
                <w:sz w:val="20"/>
                <w:szCs w:val="20"/>
                <w:color w:val="auto"/>
              </w:rPr>
            </w:pPr>
            <w:r>
              <w:rPr>
                <w:rFonts w:ascii="Arial" w:cs="Arial" w:eastAsia="Arial" w:hAnsi="Arial"/>
                <w:sz w:val="14"/>
                <w:szCs w:val="14"/>
                <w:color w:val="auto"/>
              </w:rPr>
              <w:t>5,030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L. Alloway</w:t>
            </w:r>
          </w:p>
        </w:tc>
        <w:tc>
          <w:tcPr>
            <w:tcW w:w="700" w:type="dxa"/>
            <w:vAlign w:val="bottom"/>
          </w:tcPr>
          <w:p>
            <w:pPr>
              <w:jc w:val="right"/>
              <w:spacing w:after="0"/>
              <w:rPr>
                <w:sz w:val="20"/>
                <w:szCs w:val="20"/>
                <w:color w:val="auto"/>
              </w:rPr>
            </w:pPr>
            <w:r>
              <w:rPr>
                <w:rFonts w:ascii="Arial" w:cs="Arial" w:eastAsia="Arial" w:hAnsi="Arial"/>
                <w:sz w:val="14"/>
                <w:szCs w:val="14"/>
                <w:color w:val="auto"/>
              </w:rPr>
              <w:t>27,940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Robert Tyler King</w:t>
            </w:r>
          </w:p>
        </w:tc>
        <w:tc>
          <w:tcPr>
            <w:tcW w:w="700" w:type="dxa"/>
            <w:vAlign w:val="bottom"/>
          </w:tcPr>
          <w:p>
            <w:pPr>
              <w:jc w:val="right"/>
              <w:spacing w:after="0"/>
              <w:rPr>
                <w:sz w:val="20"/>
                <w:szCs w:val="20"/>
                <w:color w:val="auto"/>
              </w:rPr>
            </w:pPr>
            <w:r>
              <w:rPr>
                <w:rFonts w:ascii="Arial" w:cs="Arial" w:eastAsia="Arial" w:hAnsi="Arial"/>
                <w:sz w:val="14"/>
                <w:szCs w:val="14"/>
                <w:color w:val="auto"/>
              </w:rPr>
              <w:t>13,633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5,580</w:t>
            </w:r>
          </w:p>
        </w:tc>
      </w:tr>
      <w:tr>
        <w:trPr>
          <w:trHeight w:val="157"/>
        </w:trPr>
        <w:tc>
          <w:tcPr>
            <w:tcW w:w="3340" w:type="dxa"/>
            <w:vAlign w:val="bottom"/>
            <w:gridSpan w:val="3"/>
          </w:tcPr>
          <w:p>
            <w:pPr>
              <w:spacing w:after="0" w:line="157" w:lineRule="exact"/>
              <w:rPr>
                <w:sz w:val="20"/>
                <w:szCs w:val="20"/>
                <w:color w:val="auto"/>
              </w:rPr>
            </w:pPr>
            <w:r>
              <w:rPr>
                <w:rFonts w:ascii="Arial" w:cs="Arial" w:eastAsia="Arial" w:hAnsi="Arial"/>
                <w:sz w:val="14"/>
                <w:szCs w:val="14"/>
                <w:color w:val="auto"/>
              </w:rPr>
              <w:t>Ronald Stepanovic(60)</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39,634</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line="162" w:lineRule="exact"/>
              <w:rPr>
                <w:sz w:val="20"/>
                <w:szCs w:val="20"/>
                <w:color w:val="auto"/>
              </w:rPr>
            </w:pPr>
            <w:r>
              <w:rPr>
                <w:rFonts w:ascii="Arial" w:cs="Arial" w:eastAsia="Arial" w:hAnsi="Arial"/>
                <w:sz w:val="13"/>
                <w:szCs w:val="13"/>
                <w:color w:val="auto"/>
              </w:rPr>
              <w:t>ROTH IRA FBO Edward M. Giles</w:t>
            </w:r>
            <w:r>
              <w:rPr>
                <w:rFonts w:ascii="Arial" w:cs="Arial" w:eastAsia="Arial" w:hAnsi="Arial"/>
                <w:sz w:val="18"/>
                <w:szCs w:val="18"/>
                <w:color w:val="auto"/>
                <w:vertAlign w:val="superscript"/>
              </w:rPr>
              <w:t>(61)</w:t>
            </w:r>
          </w:p>
        </w:tc>
        <w:tc>
          <w:tcPr>
            <w:tcW w:w="700" w:type="dxa"/>
            <w:vAlign w:val="bottom"/>
          </w:tcPr>
          <w:p>
            <w:pPr>
              <w:jc w:val="right"/>
              <w:spacing w:after="0"/>
              <w:rPr>
                <w:sz w:val="20"/>
                <w:szCs w:val="20"/>
                <w:color w:val="auto"/>
              </w:rPr>
            </w:pPr>
            <w:r>
              <w:rPr>
                <w:rFonts w:ascii="Arial" w:cs="Arial" w:eastAsia="Arial" w:hAnsi="Arial"/>
                <w:sz w:val="14"/>
                <w:szCs w:val="14"/>
                <w:color w:val="auto"/>
              </w:rPr>
              <w:t>167,645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7"/>
        </w:trPr>
        <w:tc>
          <w:tcPr>
            <w:tcW w:w="3340" w:type="dxa"/>
            <w:vAlign w:val="bottom"/>
            <w:gridSpan w:val="3"/>
          </w:tcPr>
          <w:p>
            <w:pPr>
              <w:spacing w:after="0" w:line="166" w:lineRule="exact"/>
              <w:rPr>
                <w:sz w:val="20"/>
                <w:szCs w:val="20"/>
                <w:color w:val="auto"/>
              </w:rPr>
            </w:pPr>
            <w:r>
              <w:rPr>
                <w:rFonts w:ascii="Arial" w:cs="Arial" w:eastAsia="Arial" w:hAnsi="Arial"/>
                <w:sz w:val="13"/>
                <w:szCs w:val="13"/>
                <w:color w:val="auto"/>
              </w:rPr>
              <w:t>ROTH IRA FBO George F. Wood</w:t>
            </w:r>
            <w:r>
              <w:rPr>
                <w:rFonts w:ascii="Arial" w:cs="Arial" w:eastAsia="Arial" w:hAnsi="Arial"/>
                <w:sz w:val="19"/>
                <w:szCs w:val="19"/>
                <w:color w:val="auto"/>
                <w:vertAlign w:val="superscript"/>
              </w:rPr>
              <w:t>(62)</w:t>
            </w:r>
          </w:p>
        </w:tc>
        <w:tc>
          <w:tcPr>
            <w:tcW w:w="700" w:type="dxa"/>
            <w:vAlign w:val="bottom"/>
          </w:tcPr>
          <w:p>
            <w:pPr>
              <w:jc w:val="right"/>
              <w:spacing w:after="0"/>
              <w:rPr>
                <w:sz w:val="20"/>
                <w:szCs w:val="20"/>
                <w:color w:val="auto"/>
              </w:rPr>
            </w:pPr>
            <w:r>
              <w:rPr>
                <w:rFonts w:ascii="Arial" w:cs="Arial" w:eastAsia="Arial" w:hAnsi="Arial"/>
                <w:sz w:val="14"/>
                <w:szCs w:val="14"/>
                <w:color w:val="auto"/>
              </w:rPr>
              <w:t>40,910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Ryan Schnepf</w:t>
            </w:r>
          </w:p>
        </w:tc>
        <w:tc>
          <w:tcPr>
            <w:tcW w:w="700" w:type="dxa"/>
            <w:vAlign w:val="bottom"/>
          </w:tcPr>
          <w:p>
            <w:pPr>
              <w:jc w:val="right"/>
              <w:spacing w:after="0"/>
              <w:rPr>
                <w:sz w:val="20"/>
                <w:szCs w:val="20"/>
                <w:color w:val="auto"/>
              </w:rPr>
            </w:pPr>
            <w:r>
              <w:rPr>
                <w:rFonts w:ascii="Arial" w:cs="Arial" w:eastAsia="Arial" w:hAnsi="Arial"/>
                <w:sz w:val="14"/>
                <w:szCs w:val="14"/>
                <w:color w:val="auto"/>
              </w:rPr>
              <w:t>33,326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3,487</w:t>
            </w:r>
          </w:p>
        </w:tc>
      </w:tr>
      <w:tr>
        <w:trPr>
          <w:trHeight w:val="157"/>
        </w:trPr>
        <w:tc>
          <w:tcPr>
            <w:tcW w:w="3340" w:type="dxa"/>
            <w:vAlign w:val="bottom"/>
            <w:gridSpan w:val="3"/>
          </w:tcPr>
          <w:p>
            <w:pPr>
              <w:spacing w:after="0" w:line="157" w:lineRule="exact"/>
              <w:rPr>
                <w:sz w:val="20"/>
                <w:szCs w:val="20"/>
                <w:color w:val="auto"/>
              </w:rPr>
            </w:pPr>
            <w:r>
              <w:rPr>
                <w:rFonts w:ascii="Arial" w:cs="Arial" w:eastAsia="Arial" w:hAnsi="Arial"/>
                <w:sz w:val="14"/>
                <w:szCs w:val="14"/>
                <w:color w:val="auto"/>
              </w:rPr>
              <w:t>Samuel Staggers</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61,562</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line="162" w:lineRule="exact"/>
              <w:rPr>
                <w:sz w:val="20"/>
                <w:szCs w:val="20"/>
                <w:color w:val="auto"/>
              </w:rPr>
            </w:pPr>
            <w:r>
              <w:rPr>
                <w:rFonts w:ascii="Arial" w:cs="Arial" w:eastAsia="Arial" w:hAnsi="Arial"/>
                <w:sz w:val="13"/>
                <w:szCs w:val="13"/>
                <w:color w:val="auto"/>
              </w:rPr>
              <w:t>Samuels 2012 Children’s Trust</w:t>
            </w:r>
            <w:r>
              <w:rPr>
                <w:rFonts w:ascii="Arial" w:cs="Arial" w:eastAsia="Arial" w:hAnsi="Arial"/>
                <w:sz w:val="18"/>
                <w:szCs w:val="18"/>
                <w:color w:val="auto"/>
                <w:vertAlign w:val="superscript"/>
              </w:rPr>
              <w:t>(63)</w:t>
            </w:r>
          </w:p>
        </w:tc>
        <w:tc>
          <w:tcPr>
            <w:tcW w:w="700" w:type="dxa"/>
            <w:vAlign w:val="bottom"/>
          </w:tcPr>
          <w:p>
            <w:pPr>
              <w:jc w:val="right"/>
              <w:spacing w:after="0"/>
              <w:rPr>
                <w:sz w:val="20"/>
                <w:szCs w:val="20"/>
                <w:color w:val="auto"/>
              </w:rPr>
            </w:pPr>
            <w:r>
              <w:rPr>
                <w:rFonts w:ascii="Arial" w:cs="Arial" w:eastAsia="Arial" w:hAnsi="Arial"/>
                <w:sz w:val="14"/>
                <w:szCs w:val="14"/>
                <w:color w:val="auto"/>
              </w:rPr>
              <w:t>50,506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7"/>
        </w:trPr>
        <w:tc>
          <w:tcPr>
            <w:tcW w:w="3340" w:type="dxa"/>
            <w:vAlign w:val="bottom"/>
            <w:gridSpan w:val="3"/>
          </w:tcPr>
          <w:p>
            <w:pPr>
              <w:spacing w:after="0" w:line="166" w:lineRule="exact"/>
              <w:rPr>
                <w:sz w:val="20"/>
                <w:szCs w:val="20"/>
                <w:color w:val="auto"/>
              </w:rPr>
            </w:pPr>
            <w:r>
              <w:rPr>
                <w:rFonts w:ascii="Arial" w:cs="Arial" w:eastAsia="Arial" w:hAnsi="Arial"/>
                <w:sz w:val="13"/>
                <w:szCs w:val="13"/>
                <w:color w:val="auto"/>
              </w:rPr>
              <w:t>Scherlis Family LLC</w:t>
            </w:r>
            <w:r>
              <w:rPr>
                <w:rFonts w:ascii="Arial" w:cs="Arial" w:eastAsia="Arial" w:hAnsi="Arial"/>
                <w:sz w:val="19"/>
                <w:szCs w:val="19"/>
                <w:color w:val="auto"/>
                <w:vertAlign w:val="superscript"/>
              </w:rPr>
              <w:t>(64)</w:t>
            </w:r>
          </w:p>
        </w:tc>
        <w:tc>
          <w:tcPr>
            <w:tcW w:w="700" w:type="dxa"/>
            <w:vAlign w:val="bottom"/>
          </w:tcPr>
          <w:p>
            <w:pPr>
              <w:jc w:val="right"/>
              <w:spacing w:after="0"/>
              <w:rPr>
                <w:sz w:val="20"/>
                <w:szCs w:val="20"/>
                <w:color w:val="auto"/>
              </w:rPr>
            </w:pPr>
            <w:r>
              <w:rPr>
                <w:rFonts w:ascii="Arial" w:cs="Arial" w:eastAsia="Arial" w:hAnsi="Arial"/>
                <w:sz w:val="14"/>
                <w:szCs w:val="14"/>
                <w:color w:val="auto"/>
              </w:rPr>
              <w:t>109,605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Scott Dols</w:t>
            </w:r>
          </w:p>
        </w:tc>
        <w:tc>
          <w:tcPr>
            <w:tcW w:w="700" w:type="dxa"/>
            <w:vAlign w:val="bottom"/>
          </w:tcPr>
          <w:p>
            <w:pPr>
              <w:jc w:val="right"/>
              <w:spacing w:after="0"/>
              <w:rPr>
                <w:sz w:val="20"/>
                <w:szCs w:val="20"/>
                <w:color w:val="auto"/>
              </w:rPr>
            </w:pPr>
            <w:r>
              <w:rPr>
                <w:rFonts w:ascii="Arial" w:cs="Arial" w:eastAsia="Arial" w:hAnsi="Arial"/>
                <w:sz w:val="14"/>
                <w:szCs w:val="14"/>
                <w:color w:val="auto"/>
              </w:rPr>
              <w:t>168,851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57"/>
        </w:trPr>
        <w:tc>
          <w:tcPr>
            <w:tcW w:w="3340" w:type="dxa"/>
            <w:vAlign w:val="bottom"/>
            <w:gridSpan w:val="3"/>
          </w:tcPr>
          <w:p>
            <w:pPr>
              <w:spacing w:after="0" w:line="157" w:lineRule="exact"/>
              <w:rPr>
                <w:sz w:val="20"/>
                <w:szCs w:val="20"/>
                <w:color w:val="auto"/>
              </w:rPr>
            </w:pPr>
            <w:r>
              <w:rPr>
                <w:rFonts w:ascii="Arial" w:cs="Arial" w:eastAsia="Arial" w:hAnsi="Arial"/>
                <w:sz w:val="14"/>
                <w:szCs w:val="14"/>
                <w:color w:val="auto"/>
              </w:rPr>
              <w:t>Seth A. Zimmerman</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377</w:t>
            </w: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144</w:t>
            </w:r>
          </w:p>
        </w:tc>
      </w:tr>
      <w:tr>
        <w:trPr>
          <w:trHeight w:val="162"/>
        </w:trPr>
        <w:tc>
          <w:tcPr>
            <w:tcW w:w="3340" w:type="dxa"/>
            <w:vAlign w:val="bottom"/>
            <w:gridSpan w:val="3"/>
          </w:tcPr>
          <w:p>
            <w:pPr>
              <w:spacing w:after="0" w:line="162" w:lineRule="exact"/>
              <w:rPr>
                <w:sz w:val="20"/>
                <w:szCs w:val="20"/>
                <w:color w:val="auto"/>
              </w:rPr>
            </w:pPr>
            <w:r>
              <w:rPr>
                <w:rFonts w:ascii="Arial" w:cs="Arial" w:eastAsia="Arial" w:hAnsi="Arial"/>
                <w:sz w:val="13"/>
                <w:szCs w:val="13"/>
                <w:color w:val="auto"/>
              </w:rPr>
              <w:t>SFL SPV I LLC*</w:t>
            </w:r>
            <w:r>
              <w:rPr>
                <w:rFonts w:ascii="Arial" w:cs="Arial" w:eastAsia="Arial" w:hAnsi="Arial"/>
                <w:sz w:val="18"/>
                <w:szCs w:val="18"/>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81,818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7"/>
        </w:trPr>
        <w:tc>
          <w:tcPr>
            <w:tcW w:w="3340" w:type="dxa"/>
            <w:vAlign w:val="bottom"/>
            <w:gridSpan w:val="3"/>
          </w:tcPr>
          <w:p>
            <w:pPr>
              <w:spacing w:after="0" w:line="166" w:lineRule="exact"/>
              <w:rPr>
                <w:sz w:val="20"/>
                <w:szCs w:val="20"/>
                <w:color w:val="auto"/>
              </w:rPr>
            </w:pPr>
            <w:r>
              <w:rPr>
                <w:rFonts w:ascii="Arial" w:cs="Arial" w:eastAsia="Arial" w:hAnsi="Arial"/>
                <w:sz w:val="13"/>
                <w:szCs w:val="13"/>
                <w:color w:val="auto"/>
              </w:rPr>
              <w:t>Solfin Corporation*</w:t>
            </w:r>
            <w:r>
              <w:rPr>
                <w:rFonts w:ascii="Arial" w:cs="Arial" w:eastAsia="Arial" w:hAnsi="Arial"/>
                <w:sz w:val="19"/>
                <w:szCs w:val="19"/>
                <w:color w:val="auto"/>
                <w:vertAlign w:val="superscript"/>
              </w:rPr>
              <w:t>(65)</w:t>
            </w:r>
          </w:p>
        </w:tc>
        <w:tc>
          <w:tcPr>
            <w:tcW w:w="700" w:type="dxa"/>
            <w:vAlign w:val="bottom"/>
          </w:tcPr>
          <w:p>
            <w:pPr>
              <w:jc w:val="right"/>
              <w:spacing w:after="0"/>
              <w:rPr>
                <w:sz w:val="20"/>
                <w:szCs w:val="20"/>
                <w:color w:val="auto"/>
              </w:rPr>
            </w:pPr>
            <w:r>
              <w:rPr>
                <w:rFonts w:ascii="Arial" w:cs="Arial" w:eastAsia="Arial" w:hAnsi="Arial"/>
                <w:sz w:val="14"/>
                <w:szCs w:val="14"/>
                <w:color w:val="auto"/>
              </w:rPr>
              <w:t>27,940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color w:val="auto"/>
              </w:rPr>
              <w:t>Stephen Baksa</w:t>
            </w:r>
          </w:p>
        </w:tc>
        <w:tc>
          <w:tcPr>
            <w:tcW w:w="700" w:type="dxa"/>
            <w:vAlign w:val="bottom"/>
          </w:tcPr>
          <w:p>
            <w:pPr>
              <w:jc w:val="right"/>
              <w:spacing w:after="0"/>
              <w:rPr>
                <w:sz w:val="20"/>
                <w:szCs w:val="20"/>
                <w:color w:val="auto"/>
              </w:rPr>
            </w:pPr>
            <w:r>
              <w:rPr>
                <w:rFonts w:ascii="Arial" w:cs="Arial" w:eastAsia="Arial" w:hAnsi="Arial"/>
                <w:sz w:val="14"/>
                <w:szCs w:val="14"/>
                <w:color w:val="auto"/>
              </w:rPr>
              <w:t>603,857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82"/>
        </w:trPr>
        <w:tc>
          <w:tcPr>
            <w:tcW w:w="3340" w:type="dxa"/>
            <w:vAlign w:val="bottom"/>
            <w:gridSpan w:val="3"/>
          </w:tcPr>
          <w:p>
            <w:pPr>
              <w:spacing w:after="0"/>
              <w:rPr>
                <w:sz w:val="20"/>
                <w:szCs w:val="20"/>
                <w:color w:val="auto"/>
              </w:rPr>
            </w:pPr>
            <w:r>
              <w:rPr>
                <w:rFonts w:ascii="Arial" w:cs="Arial" w:eastAsia="Arial" w:hAnsi="Arial"/>
                <w:sz w:val="14"/>
                <w:szCs w:val="14"/>
                <w:color w:val="auto"/>
              </w:rPr>
              <w:t>Stephen Drees</w:t>
            </w:r>
          </w:p>
        </w:tc>
        <w:tc>
          <w:tcPr>
            <w:tcW w:w="700" w:type="dxa"/>
            <w:vAlign w:val="bottom"/>
          </w:tcPr>
          <w:p>
            <w:pPr>
              <w:jc w:val="right"/>
              <w:spacing w:after="0"/>
              <w:rPr>
                <w:sz w:val="20"/>
                <w:szCs w:val="20"/>
                <w:color w:val="auto"/>
              </w:rPr>
            </w:pPr>
            <w:r>
              <w:rPr>
                <w:rFonts w:ascii="Arial" w:cs="Arial" w:eastAsia="Arial" w:hAnsi="Arial"/>
                <w:sz w:val="14"/>
                <w:szCs w:val="14"/>
                <w:color w:val="auto"/>
              </w:rPr>
              <w:t>65,928</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-2966085</wp:posOffset>
            </wp:positionV>
            <wp:extent cx="6292215"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-2777490</wp:posOffset>
            </wp:positionV>
            <wp:extent cx="6292215"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-2580640</wp:posOffset>
            </wp:positionV>
            <wp:extent cx="6292215"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-2374900</wp:posOffset>
            </wp:positionV>
            <wp:extent cx="6292215"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-2169160</wp:posOffset>
            </wp:positionV>
            <wp:extent cx="629221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-1963420</wp:posOffset>
            </wp:positionV>
            <wp:extent cx="6292215"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-1757680</wp:posOffset>
            </wp:positionV>
            <wp:extent cx="6292215"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-1551940</wp:posOffset>
            </wp:positionV>
            <wp:extent cx="6292215"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-1346200</wp:posOffset>
            </wp:positionV>
            <wp:extent cx="6292215"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-1140460</wp:posOffset>
            </wp:positionV>
            <wp:extent cx="6292215"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-934720</wp:posOffset>
            </wp:positionV>
            <wp:extent cx="6292215"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-728980</wp:posOffset>
            </wp:positionV>
            <wp:extent cx="6292215"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-523240</wp:posOffset>
            </wp:positionV>
            <wp:extent cx="6292215"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10,101</w:t>
            </w:r>
          </w:p>
        </w:tc>
        <w:tc>
          <w:tcPr>
            <w:tcW w:w="18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0</w:t>
            </w:r>
          </w:p>
        </w:tc>
      </w:tr>
      <w:tr>
        <w:trPr>
          <w:trHeight w:val="148"/>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179,664</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48,142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9,366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324,782</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50,506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30,115</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55,316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800,000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141,198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10,101</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10,101</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5,030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71,664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5,030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27,940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5,580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5,580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8,053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39,634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167,645</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40,910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33,326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3,487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61,562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50,506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99,605</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168,851</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377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81,818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27,940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640" w:type="dxa"/>
            <w:vAlign w:val="bottom"/>
          </w:tcPr>
          <w:p>
            <w:pPr>
              <w:jc w:val="right"/>
              <w:spacing w:after="0"/>
              <w:rPr>
                <w:sz w:val="20"/>
                <w:szCs w:val="20"/>
                <w:color w:val="auto"/>
              </w:rPr>
            </w:pPr>
            <w:r>
              <w:rPr>
                <w:rFonts w:ascii="Arial" w:cs="Arial" w:eastAsia="Arial" w:hAnsi="Arial"/>
                <w:sz w:val="14"/>
                <w:szCs w:val="14"/>
                <w:color w:val="auto"/>
              </w:rPr>
              <w:t>603,857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82"/>
        </w:trPr>
        <w:tc>
          <w:tcPr>
            <w:tcW w:w="640" w:type="dxa"/>
            <w:vAlign w:val="bottom"/>
          </w:tcPr>
          <w:p>
            <w:pPr>
              <w:jc w:val="right"/>
              <w:spacing w:after="0"/>
              <w:rPr>
                <w:sz w:val="20"/>
                <w:szCs w:val="20"/>
                <w:color w:val="auto"/>
              </w:rPr>
            </w:pPr>
            <w:r>
              <w:rPr>
                <w:rFonts w:ascii="Arial" w:cs="Arial" w:eastAsia="Arial" w:hAnsi="Arial"/>
                <w:sz w:val="14"/>
                <w:szCs w:val="14"/>
                <w:color w:val="auto"/>
              </w:rPr>
              <w:t>65,928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ectPr>
          <w:pgSz w:w="11900" w:h="16838" w:orient="portrait"/>
          <w:cols w:equalWidth="0" w:num="2">
            <w:col w:w="4940" w:space="180"/>
            <w:col w:w="4800"/>
          </w:cols>
          <w:pgMar w:left="980" w:top="12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Shares of Class A</w:t>
            </w:r>
          </w:p>
        </w:tc>
        <w:tc>
          <w:tcPr>
            <w:tcW w:w="16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1"/>
                <w:szCs w:val="11"/>
                <w:color w:val="auto"/>
              </w:rPr>
            </w:pP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Warrants Beneficially</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After the</w:t>
            </w:r>
          </w:p>
        </w:tc>
        <w:tc>
          <w:tcPr>
            <w:tcW w:w="160" w:type="dxa"/>
            <w:vAlign w:val="bottom"/>
          </w:tcPr>
          <w:p>
            <w:pPr>
              <w:spacing w:after="0"/>
              <w:rPr>
                <w:sz w:val="11"/>
                <w:szCs w:val="11"/>
                <w:color w:val="auto"/>
              </w:rPr>
            </w:pP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Owned After the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Offered Shares</w:t>
            </w:r>
          </w:p>
        </w:tc>
        <w:tc>
          <w:tcPr>
            <w:tcW w:w="160" w:type="dxa"/>
            <w:vAlign w:val="bottom"/>
          </w:tcPr>
          <w:p>
            <w:pPr>
              <w:spacing w:after="0"/>
              <w:rPr>
                <w:sz w:val="11"/>
                <w:szCs w:val="11"/>
                <w:color w:val="auto"/>
              </w:rPr>
            </w:pP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Offered Private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4"/>
              </w:rPr>
              <w:t>of Class A</w:t>
            </w:r>
          </w:p>
        </w:tc>
        <w:tc>
          <w:tcPr>
            <w:tcW w:w="160" w:type="dxa"/>
            <w:vAlign w:val="bottom"/>
          </w:tcPr>
          <w:p>
            <w:pPr>
              <w:spacing w:after="0"/>
              <w:rPr>
                <w:sz w:val="11"/>
                <w:szCs w:val="11"/>
                <w:color w:val="auto"/>
              </w:rPr>
            </w:pP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1"/>
                <w:szCs w:val="11"/>
                <w:color w:val="auto"/>
              </w:rPr>
            </w:pPr>
          </w:p>
        </w:tc>
        <w:tc>
          <w:tcPr>
            <w:tcW w:w="14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c>
          <w:tcPr>
            <w:tcW w:w="160" w:type="dxa"/>
            <w:vAlign w:val="bottom"/>
          </w:tcPr>
          <w:p>
            <w:pPr>
              <w:spacing w:after="0"/>
              <w:rPr>
                <w:sz w:val="13"/>
                <w:szCs w:val="13"/>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c>
          <w:tcPr>
            <w:tcW w:w="0" w:type="dxa"/>
            <w:vAlign w:val="bottom"/>
          </w:tcPr>
          <w:p>
            <w:pPr>
              <w:spacing w:after="0"/>
              <w:rPr>
                <w:sz w:val="1"/>
                <w:szCs w:val="1"/>
                <w:color w:val="auto"/>
              </w:rPr>
            </w:pPr>
          </w:p>
        </w:tc>
      </w:tr>
      <w:tr>
        <w:trPr>
          <w:trHeight w:val="110"/>
        </w:trPr>
        <w:tc>
          <w:tcPr>
            <w:tcW w:w="3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Shares of</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Stock After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Private</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the Offered</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Common</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Placement</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Shares of</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of Private</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Warrants</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Placement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Beneficially</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Common</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Warrants</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7" w:lineRule="exact"/>
              <w:rPr>
                <w:sz w:val="20"/>
                <w:szCs w:val="20"/>
                <w:color w:val="auto"/>
              </w:rPr>
            </w:pPr>
            <w:r>
              <w:rPr>
                <w:rFonts w:ascii="Arial" w:cs="Arial" w:eastAsia="Arial" w:hAnsi="Arial"/>
                <w:sz w:val="13"/>
                <w:szCs w:val="13"/>
                <w:b w:val="1"/>
                <w:bCs w:val="1"/>
                <w:color w:val="auto"/>
                <w:w w:val="93"/>
              </w:rPr>
              <w:t>Owned Prior</w:t>
            </w:r>
          </w:p>
        </w:tc>
        <w:tc>
          <w:tcPr>
            <w:tcW w:w="88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0"/>
              </w:rPr>
              <w:t>Owned Prior</w:t>
            </w:r>
          </w:p>
        </w:tc>
        <w:tc>
          <w:tcPr>
            <w:tcW w:w="90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85"/>
              </w:rPr>
              <w:t>Stock Being</w:t>
            </w: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82"/>
              </w:rPr>
              <w:t>Being</w:t>
            </w: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Name of Selling Securityholder</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to Offering</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to Offering</w:t>
            </w:r>
          </w:p>
        </w:tc>
        <w:tc>
          <w:tcPr>
            <w:tcW w:w="900" w:type="dxa"/>
            <w:vAlign w:val="bottom"/>
            <w:gridSpan w:val="2"/>
          </w:tcPr>
          <w:p>
            <w:pPr>
              <w:jc w:val="center"/>
              <w:ind w:right="180"/>
              <w:spacing w:after="0" w:line="162" w:lineRule="exact"/>
              <w:rPr>
                <w:sz w:val="20"/>
                <w:szCs w:val="20"/>
                <w:color w:val="auto"/>
              </w:rPr>
            </w:pPr>
            <w:r>
              <w:rPr>
                <w:rFonts w:ascii="Arial" w:cs="Arial" w:eastAsia="Arial" w:hAnsi="Arial"/>
                <w:sz w:val="13"/>
                <w:szCs w:val="13"/>
                <w:b w:val="1"/>
                <w:bCs w:val="1"/>
                <w:color w:val="auto"/>
                <w:w w:val="85"/>
              </w:rPr>
              <w:t>Offered</w:t>
            </w:r>
            <w:r>
              <w:rPr>
                <w:rFonts w:ascii="Arial" w:cs="Arial" w:eastAsia="Arial" w:hAnsi="Arial"/>
                <w:sz w:val="18"/>
                <w:szCs w:val="18"/>
                <w:b w:val="1"/>
                <w:bCs w:val="1"/>
                <w:color w:val="auto"/>
                <w:w w:val="85"/>
                <w:vertAlign w:val="superscript"/>
              </w:rPr>
              <w:t>(1)</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Offered</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Are Sold</w:t>
            </w:r>
          </w:p>
        </w:tc>
        <w:tc>
          <w:tcPr>
            <w:tcW w:w="660" w:type="dxa"/>
            <w:vAlign w:val="bottom"/>
          </w:tcPr>
          <w:p>
            <w:pPr>
              <w:jc w:val="right"/>
              <w:ind w:right="48"/>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640" w:type="dxa"/>
            <w:vAlign w:val="bottom"/>
          </w:tcPr>
          <w:p>
            <w:pPr>
              <w:jc w:val="right"/>
              <w:ind w:right="48"/>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Stephen J. Schaefer</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980,658</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555,854</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424,804</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Stephen Maffei*</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13,970</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13,970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Stephen S. Burns</w:t>
            </w:r>
            <w:r>
              <w:rPr>
                <w:rFonts w:ascii="Arial" w:cs="Arial" w:eastAsia="Arial" w:hAnsi="Arial"/>
                <w:sz w:val="17"/>
                <w:szCs w:val="17"/>
                <w:color w:val="auto"/>
                <w:vertAlign w:val="superscript"/>
              </w:rPr>
              <w:t>(66)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35,362,745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35,362,745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Steven Berkowitz*</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70,148</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70,148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Steven Struhl</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31,940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5"/>
        </w:trPr>
        <w:tc>
          <w:tcPr>
            <w:tcW w:w="3280" w:type="dxa"/>
            <w:vAlign w:val="bottom"/>
            <w:gridSpan w:val="2"/>
          </w:tcPr>
          <w:p>
            <w:pPr>
              <w:spacing w:after="0" w:line="125" w:lineRule="exact"/>
              <w:rPr>
                <w:sz w:val="20"/>
                <w:szCs w:val="20"/>
                <w:color w:val="auto"/>
              </w:rPr>
            </w:pPr>
            <w:r>
              <w:rPr>
                <w:rFonts w:ascii="Arial" w:cs="Arial" w:eastAsia="Arial" w:hAnsi="Arial"/>
                <w:sz w:val="14"/>
                <w:szCs w:val="14"/>
                <w:color w:val="auto"/>
              </w:rPr>
              <w:t>Superius Securities Group Inc. Profit Sharing Plan*</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50,239</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50,239</w:t>
            </w: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1"/>
        </w:trPr>
        <w:tc>
          <w:tcPr>
            <w:tcW w:w="3120" w:type="dxa"/>
            <w:vAlign w:val="bottom"/>
          </w:tcPr>
          <w:p>
            <w:pPr>
              <w:ind w:left="140"/>
              <w:spacing w:after="0"/>
              <w:rPr>
                <w:sz w:val="20"/>
                <w:szCs w:val="20"/>
                <w:color w:val="auto"/>
              </w:rPr>
            </w:pPr>
            <w:r>
              <w:rPr>
                <w:rFonts w:ascii="Arial" w:cs="Arial" w:eastAsia="Arial" w:hAnsi="Arial"/>
                <w:sz w:val="11"/>
                <w:szCs w:val="11"/>
                <w:color w:val="auto"/>
              </w:rPr>
              <w:t>(67)</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Ted Cooper</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118,270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88,770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line="162" w:lineRule="exact"/>
              <w:rPr>
                <w:sz w:val="20"/>
                <w:szCs w:val="20"/>
                <w:color w:val="auto"/>
              </w:rPr>
            </w:pPr>
            <w:r>
              <w:rPr>
                <w:rFonts w:ascii="Arial" w:cs="Arial" w:eastAsia="Arial" w:hAnsi="Arial"/>
                <w:sz w:val="13"/>
                <w:szCs w:val="13"/>
                <w:color w:val="auto"/>
              </w:rPr>
              <w:t>Thaddeus M. Bort</w:t>
            </w:r>
            <w:r>
              <w:rPr>
                <w:rFonts w:ascii="Arial" w:cs="Arial" w:eastAsia="Arial" w:hAnsi="Arial"/>
                <w:sz w:val="18"/>
                <w:szCs w:val="18"/>
                <w:color w:val="auto"/>
                <w:vertAlign w:val="superscript"/>
              </w:rPr>
              <w:t>(68)</w:t>
            </w:r>
          </w:p>
        </w:tc>
        <w:tc>
          <w:tcPr>
            <w:tcW w:w="760" w:type="dxa"/>
            <w:vAlign w:val="bottom"/>
          </w:tcPr>
          <w:p>
            <w:pPr>
              <w:jc w:val="right"/>
              <w:spacing w:after="0"/>
              <w:rPr>
                <w:sz w:val="20"/>
                <w:szCs w:val="20"/>
                <w:color w:val="auto"/>
              </w:rPr>
            </w:pPr>
            <w:r>
              <w:rPr>
                <w:rFonts w:ascii="Arial" w:cs="Arial" w:eastAsia="Arial" w:hAnsi="Arial"/>
                <w:sz w:val="14"/>
                <w:szCs w:val="14"/>
                <w:color w:val="auto"/>
              </w:rPr>
              <w:t>11,151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10,101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5"/>
        </w:trPr>
        <w:tc>
          <w:tcPr>
            <w:tcW w:w="328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The Monte R. Black Trust AGM DTD 9/17/2008 As</w:t>
            </w: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3"/>
                <w:szCs w:val="13"/>
                <w:color w:val="auto"/>
              </w:rPr>
              <w:t>Amended</w:t>
            </w:r>
            <w:r>
              <w:rPr>
                <w:rFonts w:ascii="Arial" w:cs="Arial" w:eastAsia="Arial" w:hAnsi="Arial"/>
                <w:sz w:val="19"/>
                <w:szCs w:val="19"/>
                <w:color w:val="auto"/>
                <w:vertAlign w:val="superscript"/>
              </w:rPr>
              <w:t>(69)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86,176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84,626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line="162" w:lineRule="exact"/>
              <w:rPr>
                <w:sz w:val="20"/>
                <w:szCs w:val="20"/>
                <w:color w:val="auto"/>
              </w:rPr>
            </w:pPr>
            <w:r>
              <w:rPr>
                <w:rFonts w:ascii="Arial" w:cs="Arial" w:eastAsia="Arial" w:hAnsi="Arial"/>
                <w:sz w:val="13"/>
                <w:szCs w:val="13"/>
                <w:color w:val="auto"/>
              </w:rPr>
              <w:t>Thomas Canepa</w:t>
            </w:r>
            <w:r>
              <w:rPr>
                <w:rFonts w:ascii="Arial" w:cs="Arial" w:eastAsia="Arial" w:hAnsi="Arial"/>
                <w:sz w:val="18"/>
                <w:szCs w:val="18"/>
                <w:color w:val="auto"/>
                <w:vertAlign w:val="superscript"/>
              </w:rPr>
              <w:t>(70)</w:t>
            </w:r>
          </w:p>
        </w:tc>
        <w:tc>
          <w:tcPr>
            <w:tcW w:w="760" w:type="dxa"/>
            <w:vAlign w:val="bottom"/>
          </w:tcPr>
          <w:p>
            <w:pPr>
              <w:jc w:val="right"/>
              <w:spacing w:after="0"/>
              <w:rPr>
                <w:sz w:val="20"/>
                <w:szCs w:val="20"/>
                <w:color w:val="auto"/>
              </w:rPr>
            </w:pPr>
            <w:r>
              <w:rPr>
                <w:rFonts w:ascii="Arial" w:cs="Arial" w:eastAsia="Arial" w:hAnsi="Arial"/>
                <w:sz w:val="14"/>
                <w:szCs w:val="14"/>
                <w:color w:val="auto"/>
              </w:rPr>
              <w:t>698,059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13,970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684,089</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Thomas T. George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4"/>
                <w:szCs w:val="14"/>
                <w:color w:val="auto"/>
              </w:rPr>
              <w:t>Thomas Wolfe</w:t>
            </w:r>
          </w:p>
        </w:tc>
        <w:tc>
          <w:tcPr>
            <w:tcW w:w="760" w:type="dxa"/>
            <w:vAlign w:val="bottom"/>
          </w:tcPr>
          <w:p>
            <w:pPr>
              <w:jc w:val="right"/>
              <w:spacing w:after="0"/>
              <w:rPr>
                <w:sz w:val="20"/>
                <w:szCs w:val="20"/>
                <w:color w:val="auto"/>
              </w:rPr>
            </w:pPr>
            <w:r>
              <w:rPr>
                <w:rFonts w:ascii="Arial" w:cs="Arial" w:eastAsia="Arial" w:hAnsi="Arial"/>
                <w:sz w:val="14"/>
                <w:szCs w:val="14"/>
                <w:color w:val="auto"/>
              </w:rPr>
              <w:t>57,125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56,512</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Troutman Family LP</w:t>
            </w:r>
            <w:r>
              <w:rPr>
                <w:rFonts w:ascii="Arial" w:cs="Arial" w:eastAsia="Arial" w:hAnsi="Arial"/>
                <w:sz w:val="18"/>
                <w:szCs w:val="18"/>
                <w:color w:val="auto"/>
                <w:vertAlign w:val="superscript"/>
              </w:rPr>
              <w:t>(71)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5"/>
        </w:trPr>
        <w:tc>
          <w:tcPr>
            <w:tcW w:w="3280" w:type="dxa"/>
            <w:vAlign w:val="bottom"/>
            <w:gridSpan w:val="2"/>
          </w:tcPr>
          <w:p>
            <w:pPr>
              <w:spacing w:after="0" w:line="125" w:lineRule="exact"/>
              <w:rPr>
                <w:sz w:val="20"/>
                <w:szCs w:val="20"/>
                <w:color w:val="auto"/>
              </w:rPr>
            </w:pPr>
            <w:r>
              <w:rPr>
                <w:rFonts w:ascii="Arial" w:cs="Arial" w:eastAsia="Arial" w:hAnsi="Arial"/>
                <w:sz w:val="14"/>
                <w:szCs w:val="14"/>
                <w:color w:val="auto"/>
              </w:rPr>
              <w:t>Variable Insurance Products Fund III: Growth</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280" w:type="dxa"/>
            <w:vAlign w:val="bottom"/>
            <w:gridSpan w:val="2"/>
          </w:tcPr>
          <w:p>
            <w:pPr>
              <w:ind w:left="140"/>
              <w:spacing w:after="0" w:line="172" w:lineRule="exact"/>
              <w:rPr>
                <w:sz w:val="20"/>
                <w:szCs w:val="20"/>
                <w:color w:val="auto"/>
              </w:rPr>
            </w:pPr>
            <w:r>
              <w:rPr>
                <w:rFonts w:ascii="Arial" w:cs="Arial" w:eastAsia="Arial" w:hAnsi="Arial"/>
                <w:sz w:val="13"/>
                <w:szCs w:val="13"/>
                <w:color w:val="auto"/>
              </w:rPr>
              <w:t>Opportunities Portfolio*</w:t>
            </w:r>
            <w:r>
              <w:rPr>
                <w:rFonts w:ascii="Arial" w:cs="Arial" w:eastAsia="Arial" w:hAnsi="Arial"/>
                <w:sz w:val="19"/>
                <w:szCs w:val="19"/>
                <w:color w:val="auto"/>
                <w:vertAlign w:val="superscript"/>
              </w:rPr>
              <w:t>(24)</w:t>
            </w:r>
          </w:p>
        </w:tc>
        <w:tc>
          <w:tcPr>
            <w:tcW w:w="760" w:type="dxa"/>
            <w:vAlign w:val="bottom"/>
          </w:tcPr>
          <w:p>
            <w:pPr>
              <w:jc w:val="right"/>
              <w:spacing w:after="0"/>
              <w:rPr>
                <w:sz w:val="20"/>
                <w:szCs w:val="20"/>
                <w:color w:val="auto"/>
              </w:rPr>
            </w:pPr>
            <w:r>
              <w:rPr>
                <w:rFonts w:ascii="Arial" w:cs="Arial" w:eastAsia="Arial" w:hAnsi="Arial"/>
                <w:sz w:val="14"/>
                <w:szCs w:val="14"/>
                <w:color w:val="auto"/>
              </w:rPr>
              <w:t>130,761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130,761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Vark Investments LLC</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1,278,134</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16,918</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1,278,134</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16,918</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4"/>
                <w:szCs w:val="14"/>
                <w:color w:val="auto"/>
              </w:rPr>
              <w:t>Vincent &amp; Thomas Iannelli TEN COM</w:t>
            </w:r>
          </w:p>
        </w:tc>
        <w:tc>
          <w:tcPr>
            <w:tcW w:w="760" w:type="dxa"/>
            <w:vAlign w:val="bottom"/>
          </w:tcPr>
          <w:p>
            <w:pPr>
              <w:jc w:val="right"/>
              <w:spacing w:after="0"/>
              <w:rPr>
                <w:sz w:val="20"/>
                <w:szCs w:val="20"/>
                <w:color w:val="auto"/>
              </w:rPr>
            </w:pPr>
            <w:r>
              <w:rPr>
                <w:rFonts w:ascii="Arial" w:cs="Arial" w:eastAsia="Arial" w:hAnsi="Arial"/>
                <w:sz w:val="14"/>
                <w:szCs w:val="14"/>
                <w:color w:val="auto"/>
              </w:rPr>
              <w:t>48,430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48,430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Walter K. Giles*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4"/>
                <w:szCs w:val="14"/>
                <w:color w:val="auto"/>
              </w:rPr>
              <w:t>William B. Summers Jr.</w:t>
            </w:r>
          </w:p>
        </w:tc>
        <w:tc>
          <w:tcPr>
            <w:tcW w:w="760" w:type="dxa"/>
            <w:vAlign w:val="bottom"/>
          </w:tcPr>
          <w:p>
            <w:pPr>
              <w:jc w:val="right"/>
              <w:spacing w:after="0"/>
              <w:rPr>
                <w:sz w:val="20"/>
                <w:szCs w:val="20"/>
                <w:color w:val="auto"/>
              </w:rPr>
            </w:pPr>
            <w:r>
              <w:rPr>
                <w:rFonts w:ascii="Arial" w:cs="Arial" w:eastAsia="Arial" w:hAnsi="Arial"/>
                <w:sz w:val="14"/>
                <w:szCs w:val="14"/>
                <w:color w:val="auto"/>
              </w:rPr>
              <w:t>55,881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55,881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Zachary L. Ring</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4"/>
                <w:szCs w:val="14"/>
                <w:color w:val="auto"/>
              </w:rPr>
              <w:t>Zachary M. Guy</w:t>
            </w:r>
          </w:p>
        </w:tc>
        <w:tc>
          <w:tcPr>
            <w:tcW w:w="760" w:type="dxa"/>
            <w:vAlign w:val="bottom"/>
          </w:tcPr>
          <w:p>
            <w:pPr>
              <w:jc w:val="right"/>
              <w:spacing w:after="0"/>
              <w:rPr>
                <w:sz w:val="20"/>
                <w:szCs w:val="20"/>
                <w:color w:val="auto"/>
              </w:rPr>
            </w:pPr>
            <w:r>
              <w:rPr>
                <w:rFonts w:ascii="Arial" w:cs="Arial" w:eastAsia="Arial" w:hAnsi="Arial"/>
                <w:sz w:val="14"/>
                <w:szCs w:val="14"/>
                <w:color w:val="auto"/>
              </w:rPr>
              <w:t>40,514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40,514</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40,514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40,514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Zuo Xiang</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35,354</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35,354</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6"/>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jc w:val="right"/>
              <w:spacing w:after="0"/>
              <w:rPr>
                <w:sz w:val="20"/>
                <w:szCs w:val="20"/>
                <w:color w:val="auto"/>
              </w:rPr>
            </w:pPr>
            <w:r>
              <w:rPr>
                <w:rFonts w:ascii="Arial" w:cs="Arial" w:eastAsia="Arial" w:hAnsi="Arial"/>
                <w:sz w:val="14"/>
                <w:szCs w:val="14"/>
                <w:color w:val="auto"/>
                <w:w w:val="96"/>
              </w:rPr>
              <w:t>75,675,029</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2,288,110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72,133,238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2,288,110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3,338,858</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53340</wp:posOffset>
            </wp:positionV>
            <wp:extent cx="1568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Information is as of November 30, 2020.</w:t>
      </w:r>
    </w:p>
    <w:p>
      <w:pPr>
        <w:spacing w:after="0" w:line="225"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Represents beneficial ownership of less than 1%.</w:t>
      </w:r>
    </w:p>
    <w:p>
      <w:pPr>
        <w:spacing w:after="0" w:line="225" w:lineRule="exact"/>
        <w:rPr>
          <w:sz w:val="20"/>
          <w:szCs w:val="20"/>
          <w:color w:val="auto"/>
        </w:rPr>
      </w:pPr>
    </w:p>
    <w:p>
      <w:pPr>
        <w:ind w:left="380" w:right="240" w:hanging="372"/>
        <w:spacing w:after="0" w:line="263"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amounts set forth in this column are the number of shares of Class A common stock that may be offered by each Selling Securityholder, including the Warrant Shares. These amounts do not represent any other securities that the Selling Securityholder may own beneficially or otherwise.</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Albert Thomas Adams is a Partner at Baker &amp; Hostetler LLP, which provides legal services to us.</w:t>
      </w:r>
    </w:p>
    <w:p>
      <w:pPr>
        <w:spacing w:after="0" w:line="225" w:lineRule="exact"/>
        <w:rPr>
          <w:rFonts w:ascii="Arial" w:cs="Arial" w:eastAsia="Arial" w:hAnsi="Arial"/>
          <w:sz w:val="18"/>
          <w:szCs w:val="18"/>
          <w:color w:val="auto"/>
        </w:rPr>
      </w:pPr>
    </w:p>
    <w:p>
      <w:pPr>
        <w:ind w:left="380" w:hanging="372"/>
        <w:spacing w:after="0" w:line="25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Seaport Global Asset Management, LLC (“SGAM”) is the manager of AMFCO-4 LLC and Armory Fund, LP. Stephen Smith, is the Chief Executive Officer of SGAM. Mr. Smith and SGAM have voting control and investment discretion over the securities described herein held by AMFCO-4 LLC and Armory Fund LP. As a result Mr. Smith and SGAM may be deemed to have beneficial ownership (as determined under S-17(d) the Exchange Act, as amended) of the securities described herein held by AMFCO-4 LLC and Armory Fund, LP.</w:t>
      </w:r>
    </w:p>
    <w:p>
      <w:pPr>
        <w:spacing w:after="0" w:line="187"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Andrew Richardson served as our independent director prior to the Closing and received his shares from the Sponsor. See “</w:t>
      </w:r>
      <w:r>
        <w:rPr>
          <w:rFonts w:ascii="Arial" w:cs="Arial" w:eastAsia="Arial" w:hAnsi="Arial"/>
          <w:sz w:val="18"/>
          <w:szCs w:val="18"/>
          <w:i w:val="1"/>
          <w:iCs w:val="1"/>
          <w:color w:val="231F20"/>
        </w:rPr>
        <w:t>Certain</w:t>
      </w:r>
      <w:r>
        <w:rPr>
          <w:rFonts w:ascii="Arial" w:cs="Arial" w:eastAsia="Arial" w:hAnsi="Arial"/>
          <w:sz w:val="18"/>
          <w:szCs w:val="18"/>
          <w:color w:val="231F20"/>
        </w:rPr>
        <w:t xml:space="preserve"> </w:t>
      </w:r>
      <w:r>
        <w:rPr>
          <w:rFonts w:ascii="Arial" w:cs="Arial" w:eastAsia="Arial" w:hAnsi="Arial"/>
          <w:sz w:val="18"/>
          <w:szCs w:val="18"/>
          <w:i w:val="1"/>
          <w:iCs w:val="1"/>
          <w:color w:val="231F20"/>
        </w:rPr>
        <w:t>Relationships and Related Party Transactions.</w:t>
      </w:r>
      <w:r>
        <w:rPr>
          <w:rFonts w:ascii="Arial" w:cs="Arial" w:eastAsia="Arial" w:hAnsi="Arial"/>
          <w:sz w:val="18"/>
          <w:szCs w:val="18"/>
          <w:color w:val="231F20"/>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380" w:right="520" w:hanging="372"/>
        <w:spacing w:after="0" w:line="286"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231F20"/>
        </w:rPr>
        <w:t>Includes 266,971 shares of Class A common stock acquired from the Sponsor, 524,851 shares of Class A common stock and 202,933 shares of Class A common stock underlying Private Placement Warrants. David Hamamoto does not have voting or investment power with respect to these securities and is not a beneficial owner of these securities.</w:t>
      </w:r>
    </w:p>
    <w:p>
      <w:pPr>
        <w:spacing w:after="0" w:line="165" w:lineRule="exact"/>
        <w:rPr>
          <w:rFonts w:ascii="Arial" w:cs="Arial" w:eastAsia="Arial" w:hAnsi="Arial"/>
          <w:sz w:val="17"/>
          <w:szCs w:val="17"/>
          <w:color w:val="auto"/>
        </w:rPr>
      </w:pPr>
    </w:p>
    <w:p>
      <w:pPr>
        <w:ind w:left="380" w:right="420" w:hanging="372"/>
        <w:spacing w:after="0" w:line="277"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Includes 8,000 shares held by Andrew Drazic and 2,000 shares held by John Drazic. Andrew Drazic and John Drazic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J. Victor &amp; Barbara G. Samuels JT TEN transferred 83,822 Class A common shares to Barbara G. Samuels.</w:t>
      </w:r>
    </w:p>
    <w:p>
      <w:pPr>
        <w:spacing w:after="0" w:line="225" w:lineRule="exact"/>
        <w:rPr>
          <w:rFonts w:ascii="Arial" w:cs="Arial" w:eastAsia="Arial" w:hAnsi="Arial"/>
          <w:sz w:val="18"/>
          <w:szCs w:val="18"/>
          <w:color w:val="231F20"/>
        </w:rPr>
      </w:pPr>
    </w:p>
    <w:p>
      <w:pPr>
        <w:ind w:left="380" w:right="60" w:hanging="372"/>
        <w:spacing w:after="0" w:line="277"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Krista Librett, Operations Manager of Monashee Investment Management, LLC, is deemed to have power to vote or dispose of the reported securities offered hereby.</w:t>
      </w:r>
    </w:p>
    <w:p>
      <w:pPr>
        <w:spacing w:after="0" w:line="170" w:lineRule="exact"/>
        <w:rPr>
          <w:rFonts w:ascii="Arial" w:cs="Arial" w:eastAsia="Arial" w:hAnsi="Arial"/>
          <w:sz w:val="18"/>
          <w:szCs w:val="18"/>
          <w:color w:val="231F20"/>
        </w:rPr>
      </w:pPr>
    </w:p>
    <w:p>
      <w:pPr>
        <w:ind w:left="380" w:right="80" w:hanging="372"/>
        <w:spacing w:after="0" w:line="277"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Daniel Blackwell, Dennis Blackwell, Christopher Blackwell, Patrick Blackwell, and Desiree Gress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Paul J. Becker, Jr. is deemed to have power to vote or dispose of the reported securities offered hereby.</w:t>
      </w:r>
    </w:p>
    <w:p>
      <w:pPr>
        <w:spacing w:after="0" w:line="225" w:lineRule="exact"/>
        <w:rPr>
          <w:rFonts w:ascii="Arial" w:cs="Arial" w:eastAsia="Arial" w:hAnsi="Arial"/>
          <w:sz w:val="18"/>
          <w:szCs w:val="18"/>
          <w:color w:val="231F20"/>
        </w:rPr>
      </w:pPr>
    </w:p>
    <w:p>
      <w:pPr>
        <w:jc w:val="both"/>
        <w:ind w:left="380" w:hanging="372"/>
        <w:spacing w:after="0" w:line="259"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Michael E. Gibbons, John R. Tilson and other members of the BGL executive committee may be deemed to share the power to vote or dispose of the reported securities offered hereby. BGL’s sister company, BGL Securities, is a registered broker-dealer that served as financial advisor to Legacy Lordstown. BGL received the BGL Warrants as designee of BGL Securities, as partial consideration for such services as financial advisor.</w:t>
      </w:r>
    </w:p>
    <w:p>
      <w:pPr>
        <w:spacing w:after="0" w:line="186" w:lineRule="exact"/>
        <w:rPr>
          <w:rFonts w:ascii="Arial" w:cs="Arial" w:eastAsia="Arial" w:hAnsi="Arial"/>
          <w:sz w:val="18"/>
          <w:szCs w:val="18"/>
          <w:color w:val="231F20"/>
        </w:rPr>
      </w:pPr>
    </w:p>
    <w:p>
      <w:pPr>
        <w:ind w:left="380" w:right="460" w:hanging="372"/>
        <w:spacing w:after="0" w:line="277"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Chuan D. (John) Vo is our former Vice President of Propulsion. Includes 226,924 Class A common shares underlying options exercisable as of March 1, 2022.</w:t>
      </w:r>
    </w:p>
    <w:p>
      <w:pPr>
        <w:spacing w:after="0" w:line="170" w:lineRule="exact"/>
        <w:rPr>
          <w:rFonts w:ascii="Arial" w:cs="Arial" w:eastAsia="Arial" w:hAnsi="Arial"/>
          <w:sz w:val="18"/>
          <w:szCs w:val="18"/>
          <w:color w:val="231F20"/>
        </w:rPr>
      </w:pPr>
    </w:p>
    <w:p>
      <w:pPr>
        <w:ind w:left="380" w:right="20" w:hanging="372"/>
        <w:spacing w:after="0" w:line="342" w:lineRule="auto"/>
        <w:tabs>
          <w:tab w:leader="none" w:pos="380" w:val="left"/>
        </w:tabs>
        <w:numPr>
          <w:ilvl w:val="0"/>
          <w:numId w:val="43"/>
        </w:numPr>
        <w:rPr>
          <w:rFonts w:ascii="Arial" w:cs="Arial" w:eastAsia="Arial" w:hAnsi="Arial"/>
          <w:sz w:val="16"/>
          <w:szCs w:val="16"/>
          <w:color w:val="231F20"/>
        </w:rPr>
      </w:pPr>
      <w:r>
        <w:rPr>
          <w:rFonts w:ascii="Arial" w:cs="Arial" w:eastAsia="Arial" w:hAnsi="Arial"/>
          <w:sz w:val="16"/>
          <w:szCs w:val="16"/>
          <w:color w:val="auto"/>
        </w:rPr>
        <w:t>David T. Hamamoto GRAT 2019 — SPAC transferred 76,119 shares to David T. Hamamoto. Mr. Hamamoto is our director and our former Chairman of the Board and Chief Executive Officer. See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231F20"/>
        </w:rPr>
        <w:t>Transactions</w:t>
      </w:r>
      <w:r>
        <w:rPr>
          <w:rFonts w:ascii="Arial" w:cs="Arial" w:eastAsia="Arial" w:hAnsi="Arial"/>
          <w:sz w:val="16"/>
          <w:szCs w:val="16"/>
          <w:color w:val="231F20"/>
        </w:rPr>
        <w:t>.”</w:t>
      </w:r>
    </w:p>
    <w:p>
      <w:pPr>
        <w:spacing w:after="0" w:line="123" w:lineRule="exact"/>
        <w:rPr>
          <w:rFonts w:ascii="Arial" w:cs="Arial" w:eastAsia="Arial" w:hAnsi="Arial"/>
          <w:sz w:val="16"/>
          <w:szCs w:val="16"/>
          <w:color w:val="231F20"/>
        </w:rPr>
      </w:pPr>
    </w:p>
    <w:p>
      <w:pPr>
        <w:ind w:left="380" w:right="20" w:hanging="372"/>
        <w:spacing w:after="0" w:line="259"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 xml:space="preserve">David T. Hamamoto is deemed to have power to vote or dispose of the reported securities offered hereby. </w:t>
      </w:r>
      <w:r>
        <w:rPr>
          <w:rFonts w:ascii="Arial" w:cs="Arial" w:eastAsia="Arial" w:hAnsi="Arial"/>
          <w:sz w:val="18"/>
          <w:szCs w:val="18"/>
          <w:color w:val="000000"/>
        </w:rPr>
        <w:t>David T. Hamamoto</w:t>
      </w:r>
      <w:r>
        <w:rPr>
          <w:rFonts w:ascii="Arial" w:cs="Arial" w:eastAsia="Arial" w:hAnsi="Arial"/>
          <w:sz w:val="18"/>
          <w:szCs w:val="18"/>
          <w:color w:val="231F20"/>
        </w:rPr>
        <w:t xml:space="preserve"> </w:t>
      </w:r>
      <w:r>
        <w:rPr>
          <w:rFonts w:ascii="Arial" w:cs="Arial" w:eastAsia="Arial" w:hAnsi="Arial"/>
          <w:sz w:val="18"/>
          <w:szCs w:val="18"/>
          <w:color w:val="000000"/>
        </w:rPr>
        <w:t xml:space="preserve">GRAT 2019 – SPAC (the “GRAT”) is a grantor retained annuity trust. Mr. Hamamoto is the trustee and sole annuitant of the GRAT. </w:t>
      </w:r>
      <w:r>
        <w:rPr>
          <w:rFonts w:ascii="Arial" w:cs="Arial" w:eastAsia="Arial" w:hAnsi="Arial"/>
          <w:sz w:val="18"/>
          <w:szCs w:val="18"/>
          <w:color w:val="231F20"/>
        </w:rPr>
        <w:t>Mr. Hamamoto is our director and our former Chairman of the Board and Chief Executive Officer. See “</w:t>
      </w:r>
      <w:r>
        <w:rPr>
          <w:rFonts w:ascii="Arial" w:cs="Arial" w:eastAsia="Arial" w:hAnsi="Arial"/>
          <w:sz w:val="18"/>
          <w:szCs w:val="18"/>
          <w:i w:val="1"/>
          <w:iCs w:val="1"/>
          <w:color w:val="231F20"/>
        </w:rPr>
        <w:t>Certain Relationships and</w:t>
      </w:r>
      <w:r>
        <w:rPr>
          <w:rFonts w:ascii="Arial" w:cs="Arial" w:eastAsia="Arial" w:hAnsi="Arial"/>
          <w:sz w:val="18"/>
          <w:szCs w:val="18"/>
          <w:color w:val="231F20"/>
        </w:rPr>
        <w:t xml:space="preserve"> </w:t>
      </w:r>
      <w:r>
        <w:rPr>
          <w:rFonts w:ascii="Arial" w:cs="Arial" w:eastAsia="Arial" w:hAnsi="Arial"/>
          <w:sz w:val="18"/>
          <w:szCs w:val="18"/>
          <w:i w:val="1"/>
          <w:iCs w:val="1"/>
          <w:color w:val="231F20"/>
        </w:rPr>
        <w:t>Related Party Transactions</w:t>
      </w:r>
      <w:r>
        <w:rPr>
          <w:rFonts w:ascii="Arial" w:cs="Arial" w:eastAsia="Arial" w:hAnsi="Arial"/>
          <w:sz w:val="18"/>
          <w:szCs w:val="18"/>
          <w:color w:val="231F20"/>
        </w:rPr>
        <w:t>.”</w:t>
      </w:r>
    </w:p>
    <w:p>
      <w:pPr>
        <w:spacing w:after="0" w:line="186" w:lineRule="exact"/>
        <w:rPr>
          <w:rFonts w:ascii="Arial" w:cs="Arial" w:eastAsia="Arial" w:hAnsi="Arial"/>
          <w:sz w:val="18"/>
          <w:szCs w:val="18"/>
          <w:color w:val="231F20"/>
        </w:rPr>
      </w:pPr>
    </w:p>
    <w:p>
      <w:pPr>
        <w:ind w:left="380" w:right="60" w:hanging="372"/>
        <w:spacing w:after="0" w:line="286" w:lineRule="auto"/>
        <w:tabs>
          <w:tab w:leader="none" w:pos="380"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Ryan Raffin, Bryan Clontz and Gary Snerson, as individual trustees of Dechomai Asset Trust, are each deemed to have power to vote or dispose of the reported securities offered hereby. Dechomai Foundation, Inc., as corporate trustee of Dechomai Asset Trust, also is deemed to have power to vote or dispose of the reported securities offered hereby.</w:t>
      </w:r>
    </w:p>
    <w:p>
      <w:pPr>
        <w:spacing w:after="0" w:line="165" w:lineRule="exact"/>
        <w:rPr>
          <w:rFonts w:ascii="Arial" w:cs="Arial" w:eastAsia="Arial" w:hAnsi="Arial"/>
          <w:sz w:val="17"/>
          <w:szCs w:val="17"/>
          <w:color w:val="231F20"/>
        </w:rPr>
      </w:pPr>
    </w:p>
    <w:p>
      <w:pPr>
        <w:ind w:left="380" w:right="120" w:hanging="372"/>
        <w:spacing w:after="0" w:line="263"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David T. Hamamoto is deemed to have power to vote or dispose of the reported securities offered hereby. Mr. Hamamoto, our director and former Chairman of the Board and Chief Executive Officer, is the sole managing member of Diamond Head Partners. See “</w:t>
      </w:r>
      <w:r>
        <w:rPr>
          <w:rFonts w:ascii="Arial" w:cs="Arial" w:eastAsia="Arial" w:hAnsi="Arial"/>
          <w:sz w:val="18"/>
          <w:szCs w:val="18"/>
          <w:i w:val="1"/>
          <w:iCs w:val="1"/>
          <w:color w:val="231F20"/>
        </w:rPr>
        <w:t>Certain Relationships and Related Party Transactions</w:t>
      </w:r>
      <w:r>
        <w:rPr>
          <w:rFonts w:ascii="Arial" w:cs="Arial" w:eastAsia="Arial" w:hAnsi="Arial"/>
          <w:sz w:val="18"/>
          <w:szCs w:val="18"/>
          <w:color w:val="231F20"/>
        </w:rPr>
        <w:t>.”</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Edward Ptaszek is a Partner at Baker &amp; Hostetler LLP, which provides legal services to us.</w:t>
      </w:r>
    </w:p>
    <w:p>
      <w:pPr>
        <w:spacing w:after="0" w:line="225" w:lineRule="exact"/>
        <w:rPr>
          <w:rFonts w:ascii="Arial" w:cs="Arial" w:eastAsia="Arial" w:hAnsi="Arial"/>
          <w:sz w:val="18"/>
          <w:szCs w:val="18"/>
          <w:color w:val="231F20"/>
        </w:rPr>
      </w:pPr>
    </w:p>
    <w:p>
      <w:pPr>
        <w:ind w:left="380" w:hanging="372"/>
        <w:spacing w:after="0" w:line="308" w:lineRule="auto"/>
        <w:tabs>
          <w:tab w:leader="none" w:pos="380"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Edward M. Giles and Zachary A. Wydra are each deemed to have power to vote or dispose of the reported securities offered hereby. Zachary A. Wydra is Chief Executive Officer of, and thus is an affiliate of, registered broker-dealer First Manhattan Co.</w:t>
      </w:r>
    </w:p>
    <w:p>
      <w:pPr>
        <w:spacing w:after="0" w:line="146" w:lineRule="exact"/>
        <w:rPr>
          <w:rFonts w:ascii="Arial" w:cs="Arial" w:eastAsia="Arial" w:hAnsi="Arial"/>
          <w:sz w:val="17"/>
          <w:szCs w:val="17"/>
          <w:color w:val="231F20"/>
        </w:rPr>
      </w:pPr>
    </w:p>
    <w:p>
      <w:pPr>
        <w:ind w:left="380" w:right="40" w:hanging="372"/>
        <w:spacing w:after="0" w:line="277"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Robin Giles, Elizabeth Giles, Eddie Giles, Mary Giles, Sarah Giles, Emily Giles and Kathryn Giles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Edward M. Giles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James J. Kassouf is deemed to have power to vote or dispose of the reported securities offered hereby.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7"/>
          <w:szCs w:val="17"/>
          <w:color w:val="231F20"/>
        </w:rPr>
      </w:pPr>
      <w:r>
        <w:rPr>
          <w:rFonts w:ascii="Arial" w:cs="Arial" w:eastAsia="Arial" w:hAnsi="Arial"/>
          <w:sz w:val="17"/>
          <w:szCs w:val="17"/>
          <w:color w:val="231F20"/>
        </w:rPr>
        <w:t>Ernest Mario and Jeremy Mario are each deemed to have power to vote or dispose of the reported securities offered hereby.</w:t>
      </w:r>
    </w:p>
    <w:p>
      <w:pPr>
        <w:spacing w:after="0" w:line="236" w:lineRule="exact"/>
        <w:rPr>
          <w:rFonts w:ascii="Arial" w:cs="Arial" w:eastAsia="Arial" w:hAnsi="Arial"/>
          <w:sz w:val="17"/>
          <w:szCs w:val="17"/>
          <w:color w:val="231F20"/>
        </w:rPr>
      </w:pPr>
    </w:p>
    <w:p>
      <w:pPr>
        <w:ind w:left="380" w:hanging="372"/>
        <w:spacing w:after="0" w:line="269"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231F20"/>
        </w:rPr>
        <w:t>The Selling Securityholder, Federated Hermes Kaufmann Small Cap Fund, a portfolio of Federated Hermes Equity Funds, is managed by Federated Equity Management Company of Pennsylvania and subadvised by Federated Global Investment Management Corp., which are wholly owned subsidiaries of FII Holdings, Inc., which is a wholly owned subsidiary of Federated Hermes, Inc., or “the Parent.” All of the Parent’s outstanding voting stock is held in the Voting Shares Irrevocable Trust, or the “Trust,” for which Thomas R. Donahue, Rhodora J. Donahue and J. Christopher Donahue, who are collectively referred to as “Trustees,” act as trustees. The Parent’s subsidiaries have the power to direct the vote and disposition of the securities held by the Selling Securityholder. Each of the Parent, its subsidiaries, the Trust, and each of the Trustees, expressly disclaims beneficial ownership of such securities. The investment adviser of the Selling Securityholder is under common control with two registered broker-dealers, Federated Securities Corp. and Federated International Securities Corp. Each such broker-dealer is a limited purpose broker-dealer, the primary business of which is to distribute shares of pooled investment vehicles advised by affiliated investment advisers.</w:t>
      </w:r>
    </w:p>
    <w:p>
      <w:pPr>
        <w:spacing w:after="0" w:line="181" w:lineRule="exact"/>
        <w:rPr>
          <w:rFonts w:ascii="Arial" w:cs="Arial" w:eastAsia="Arial" w:hAnsi="Arial"/>
          <w:sz w:val="17"/>
          <w:szCs w:val="17"/>
          <w:color w:val="auto"/>
        </w:rPr>
      </w:pPr>
    </w:p>
    <w:p>
      <w:pPr>
        <w:ind w:left="380" w:right="20" w:hanging="372"/>
        <w:spacing w:after="0" w:line="28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Fidelity Management &amp; Research Company carries out the voting of the reported shares under written guidelines established by the Fidelity Funds’ Boards of Trustees. The Selling Securityholder is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Selling Securityholder is an affiliate of registered broker-dealers. See “</w:t>
      </w:r>
      <w:r>
        <w:rPr>
          <w:rFonts w:ascii="Arial" w:cs="Arial" w:eastAsia="Arial" w:hAnsi="Arial"/>
          <w:sz w:val="16"/>
          <w:szCs w:val="16"/>
          <w:i w:val="1"/>
          <w:iCs w:val="1"/>
          <w:color w:val="231F20"/>
        </w:rPr>
        <w:t>Certain Relationships and Related Party Transactions</w:t>
      </w:r>
      <w:r>
        <w:rPr>
          <w:rFonts w:ascii="Arial" w:cs="Arial" w:eastAsia="Arial" w:hAnsi="Arial"/>
          <w:sz w:val="16"/>
          <w:szCs w:val="16"/>
          <w:color w:val="231F20"/>
        </w:rPr>
        <w:t>.” FMR LLC filed a schedule 13G/A on February 9, 2020 reporting beneficial ownership of 211 shares of Class A common stock and, therefore, the entities associated with FMR LLC that are identified as Selling Securityholders in the table above may no longer beneficially own some or all of the shares listed in the table, in which case they would not be offered for sale under this prospectus.</w:t>
      </w:r>
    </w:p>
    <w:p>
      <w:pPr>
        <w:spacing w:after="0" w:line="173" w:lineRule="exact"/>
        <w:rPr>
          <w:rFonts w:ascii="Arial" w:cs="Arial" w:eastAsia="Arial" w:hAnsi="Arial"/>
          <w:sz w:val="16"/>
          <w:szCs w:val="16"/>
          <w:color w:val="auto"/>
        </w:rPr>
      </w:pPr>
    </w:p>
    <w:p>
      <w:pPr>
        <w:ind w:left="380" w:hanging="372"/>
        <w:spacing w:after="0"/>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Edward M. Giles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Marc Lehmann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Damon Frangos and Louis Grangos are each deemed to have power to vote or dispose of the reported securities offered hereby.</w:t>
      </w:r>
    </w:p>
    <w:p>
      <w:pPr>
        <w:spacing w:after="0" w:line="248" w:lineRule="exact"/>
        <w:rPr>
          <w:rFonts w:ascii="Arial" w:cs="Arial" w:eastAsia="Arial" w:hAnsi="Arial"/>
          <w:sz w:val="16"/>
          <w:szCs w:val="16"/>
          <w:color w:val="231F20"/>
        </w:rPr>
      </w:pPr>
    </w:p>
    <w:p>
      <w:pPr>
        <w:ind w:left="380" w:hanging="372"/>
        <w:spacing w:after="0"/>
        <w:tabs>
          <w:tab w:leader="none" w:pos="380" w:val="left"/>
        </w:tabs>
        <w:numPr>
          <w:ilvl w:val="0"/>
          <w:numId w:val="44"/>
        </w:numPr>
        <w:rPr>
          <w:rFonts w:ascii="Arial" w:cs="Arial" w:eastAsia="Arial" w:hAnsi="Arial"/>
          <w:sz w:val="17"/>
          <w:szCs w:val="17"/>
          <w:color w:val="231F20"/>
        </w:rPr>
      </w:pPr>
      <w:r>
        <w:rPr>
          <w:rFonts w:ascii="Arial" w:cs="Arial" w:eastAsia="Arial" w:hAnsi="Arial"/>
          <w:sz w:val="17"/>
          <w:szCs w:val="17"/>
          <w:color w:val="231F20"/>
        </w:rPr>
        <w:t>Frank H. Moore is a Financial Advisor at, and thus is an affiliate of, registered broker-dealer UBS Financial Services, Inc.</w:t>
      </w:r>
    </w:p>
    <w:p>
      <w:pPr>
        <w:spacing w:after="0" w:line="236" w:lineRule="exact"/>
        <w:rPr>
          <w:rFonts w:ascii="Arial" w:cs="Arial" w:eastAsia="Arial" w:hAnsi="Arial"/>
          <w:sz w:val="17"/>
          <w:szCs w:val="17"/>
          <w:color w:val="231F20"/>
        </w:rPr>
      </w:pPr>
    </w:p>
    <w:p>
      <w:pPr>
        <w:ind w:left="380" w:hanging="372"/>
        <w:spacing w:after="0"/>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Anthony Milone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right="260" w:hanging="372"/>
        <w:spacing w:after="0" w:line="277" w:lineRule="auto"/>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Samuel H. Johnson, Patrick E. Mangin and Theodore H. Reich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Dominc Audino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right="100" w:hanging="372"/>
        <w:spacing w:after="0" w:line="277" w:lineRule="auto"/>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James J. Dolan is a director of PlanMember Financial Corp., which is the parent company of registered broker-dealer PlanMember Securities Corp, Carpentaria CA. He is also a FINRA registered representative.</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Michael T. Drake and Janice R. Drake are each deemed to have power to vote or dispose of the reported securities offered hereby.</w:t>
      </w:r>
    </w:p>
    <w:p>
      <w:pPr>
        <w:spacing w:after="0" w:line="248" w:lineRule="exact"/>
        <w:rPr>
          <w:rFonts w:ascii="Arial" w:cs="Arial" w:eastAsia="Arial" w:hAnsi="Arial"/>
          <w:sz w:val="16"/>
          <w:szCs w:val="16"/>
          <w:color w:val="231F20"/>
        </w:rPr>
      </w:pPr>
    </w:p>
    <w:p>
      <w:pPr>
        <w:ind w:left="380" w:hanging="372"/>
        <w:spacing w:after="0"/>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John R. Tilson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John William Blaney is our employee.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80" w:right="240" w:hanging="372"/>
        <w:spacing w:after="0" w:line="277"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Judith Hannaway served as our independent director prior to the Closing and received her shares from the Sponsor. See “</w:t>
      </w:r>
      <w:r>
        <w:rPr>
          <w:rFonts w:ascii="Arial" w:cs="Arial" w:eastAsia="Arial" w:hAnsi="Arial"/>
          <w:sz w:val="18"/>
          <w:szCs w:val="18"/>
          <w:i w:val="1"/>
          <w:iCs w:val="1"/>
          <w:color w:val="231F20"/>
        </w:rPr>
        <w:t>Certain</w:t>
      </w:r>
      <w:r>
        <w:rPr>
          <w:rFonts w:ascii="Arial" w:cs="Arial" w:eastAsia="Arial" w:hAnsi="Arial"/>
          <w:sz w:val="18"/>
          <w:szCs w:val="18"/>
          <w:color w:val="231F20"/>
        </w:rPr>
        <w:t xml:space="preserve"> </w:t>
      </w:r>
      <w:r>
        <w:rPr>
          <w:rFonts w:ascii="Arial" w:cs="Arial" w:eastAsia="Arial" w:hAnsi="Arial"/>
          <w:sz w:val="18"/>
          <w:szCs w:val="18"/>
          <w:i w:val="1"/>
          <w:iCs w:val="1"/>
          <w:color w:val="231F20"/>
        </w:rPr>
        <w:t>Relationships and Related Party Transactions.</w:t>
      </w:r>
      <w:r>
        <w:rPr>
          <w:rFonts w:ascii="Arial" w:cs="Arial" w:eastAsia="Arial" w:hAnsi="Arial"/>
          <w:sz w:val="18"/>
          <w:szCs w:val="18"/>
          <w:color w:val="231F20"/>
        </w:rPr>
        <w:t>”</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Julio C. Rodriguez is our former Chief Financial Officer.</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Keith Feldman serves on our board of directors.</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Terrence P. Fergus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right="420" w:hanging="372"/>
        <w:spacing w:after="0" w:line="277"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Mark A. Walsh served as our independent director prior to the Closing and received his shares from the Sponsor. See “</w:t>
      </w:r>
      <w:r>
        <w:rPr>
          <w:rFonts w:ascii="Arial" w:cs="Arial" w:eastAsia="Arial" w:hAnsi="Arial"/>
          <w:sz w:val="18"/>
          <w:szCs w:val="18"/>
          <w:i w:val="1"/>
          <w:iCs w:val="1"/>
          <w:color w:val="231F20"/>
        </w:rPr>
        <w:t>Certain</w:t>
      </w:r>
      <w:r>
        <w:rPr>
          <w:rFonts w:ascii="Arial" w:cs="Arial" w:eastAsia="Arial" w:hAnsi="Arial"/>
          <w:sz w:val="18"/>
          <w:szCs w:val="18"/>
          <w:color w:val="231F20"/>
        </w:rPr>
        <w:t xml:space="preserve"> </w:t>
      </w:r>
      <w:r>
        <w:rPr>
          <w:rFonts w:ascii="Arial" w:cs="Arial" w:eastAsia="Arial" w:hAnsi="Arial"/>
          <w:sz w:val="18"/>
          <w:szCs w:val="18"/>
          <w:i w:val="1"/>
          <w:iCs w:val="1"/>
          <w:color w:val="231F20"/>
        </w:rPr>
        <w:t>Relationships and Related Party Transactions.</w:t>
      </w:r>
      <w:r>
        <w:rPr>
          <w:rFonts w:ascii="Arial" w:cs="Arial" w:eastAsia="Arial" w:hAnsi="Arial"/>
          <w:sz w:val="18"/>
          <w:szCs w:val="18"/>
          <w:color w:val="231F20"/>
        </w:rPr>
        <w:t>”</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Anthony V. Milone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Martin J. Rucidlo serves on our board of directors.</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Martin Thomas Booher is a Partner at Baker &amp; Hostetler LLP, which provides legal services to us.</w:t>
      </w:r>
    </w:p>
    <w:p>
      <w:pPr>
        <w:spacing w:after="0" w:line="225" w:lineRule="exact"/>
        <w:rPr>
          <w:rFonts w:ascii="Arial" w:cs="Arial" w:eastAsia="Arial" w:hAnsi="Arial"/>
          <w:sz w:val="18"/>
          <w:szCs w:val="18"/>
          <w:color w:val="231F20"/>
        </w:rPr>
      </w:pPr>
    </w:p>
    <w:p>
      <w:pPr>
        <w:ind w:left="380" w:right="800" w:hanging="372"/>
        <w:spacing w:after="0" w:line="277"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Melissa Leonard is our Executive Vice President, General Counsel &amp; Secretary. Includes 66,666 Class A common shares underlying options exercisable as of March 1, 2022.</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Mark Christiana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right="300" w:hanging="372"/>
        <w:spacing w:after="0" w:line="277"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Michael Gibbons is a shareholder of, and an affiliate of, registered broker-dealer Brown, Gibbons, Lang &amp; Company Securities, Inc., which served as financial advisor to Legacy Lordstown.</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Michael D. Gates serves on our board of directors.</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Michael Kolodny, as trustee,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Michael Solomon is a FINRA registered representative associated with Maxim Group LLC.</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Mickey W. Kowitz served on our board of directors.</w:t>
      </w:r>
    </w:p>
    <w:p>
      <w:pPr>
        <w:spacing w:after="0" w:line="225" w:lineRule="exact"/>
        <w:rPr>
          <w:rFonts w:ascii="Arial" w:cs="Arial" w:eastAsia="Arial" w:hAnsi="Arial"/>
          <w:sz w:val="18"/>
          <w:szCs w:val="18"/>
          <w:color w:val="231F20"/>
        </w:rPr>
      </w:pPr>
    </w:p>
    <w:p>
      <w:pPr>
        <w:ind w:left="380" w:right="580" w:hanging="372"/>
        <w:spacing w:after="0" w:line="277"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Ernest Mario, Christopher Bradley Mario and Jeremy herrad Mario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Ernest Mario and Jeremy Mario are each deemed to have power to vote or dispose of the reported securities offered hereby.</w:t>
      </w:r>
    </w:p>
    <w:p>
      <w:pPr>
        <w:spacing w:after="0" w:line="236" w:lineRule="exact"/>
        <w:rPr>
          <w:rFonts w:ascii="Arial" w:cs="Arial" w:eastAsia="Arial" w:hAnsi="Arial"/>
          <w:sz w:val="17"/>
          <w:szCs w:val="17"/>
          <w:color w:val="231F20"/>
        </w:rPr>
      </w:pPr>
    </w:p>
    <w:p>
      <w:pPr>
        <w:ind w:left="380" w:hanging="372"/>
        <w:spacing w:after="0" w:line="277"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Robert Edward Jackson, Robert Drew Jackson and Christopher Jason Wollman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Nancy Hu works as a consultant for, and thus is an affiliate of, registered broker-dealer First Manhattan Co.</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Joe Lukens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Includes 500 shares held individually by Mary Ellen McCullough and 125 shares held by Patrick McCullough.</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Phil Richard (Rich) Schmidt is our former President.</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Gina Robins is deemed to have power to vote or dispose of the reported securities offered hereby.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80" w:right="240" w:hanging="372"/>
        <w:spacing w:after="0" w:line="263"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Millennium Management LLC, a Delaware limited liability company (“Millennium Management”), is the general partner of the managing member of Riverview Group LLC (“Riverview Group”) and may be deemed to have shared voting control and investment discretion over securities owned by Riverview Group.</w:t>
      </w:r>
    </w:p>
    <w:p>
      <w:pPr>
        <w:spacing w:after="0" w:line="183"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Ronald Stepanovic is a Partner at Baker &amp; Hostetler LLP, which provides legal services to us.</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Edward M. Giles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George F. Wood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Benjamin Samuels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Morris Scherlis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Douglas Solomon is deemed to have power to vote or dispose of the reported securities offered hereby.</w:t>
      </w:r>
    </w:p>
    <w:p>
      <w:pPr>
        <w:spacing w:after="0" w:line="225" w:lineRule="exact"/>
        <w:rPr>
          <w:rFonts w:ascii="Arial" w:cs="Arial" w:eastAsia="Arial" w:hAnsi="Arial"/>
          <w:sz w:val="18"/>
          <w:szCs w:val="18"/>
          <w:color w:val="231F20"/>
        </w:rPr>
      </w:pPr>
    </w:p>
    <w:p>
      <w:pPr>
        <w:ind w:left="380" w:hanging="372"/>
        <w:spacing w:after="0" w:line="259"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On January 11, 2022, upon the termination of a grantor retained annuity trust, of which Mr. Burns, our former Chairman of the Board and former Chief Executive Officer, was the trustee and sole annuitant, 13,906,553 shares of Class A Common Stock were transferred to Mr. Burns and are held by him directly. Mr. Burns’ beneficial ownership information is from a Schedule 13D filed on March 3, 2022.</w:t>
      </w:r>
    </w:p>
    <w:p>
      <w:pPr>
        <w:spacing w:after="0" w:line="186"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7"/>
          <w:szCs w:val="17"/>
          <w:color w:val="231F20"/>
        </w:rPr>
      </w:pPr>
      <w:r>
        <w:rPr>
          <w:rFonts w:ascii="Arial" w:cs="Arial" w:eastAsia="Arial" w:hAnsi="Arial"/>
          <w:sz w:val="17"/>
          <w:szCs w:val="17"/>
          <w:color w:val="231F20"/>
        </w:rPr>
        <w:t>James Hudgins and AC Hudgins are each deemed to have power to vote or dispose of the reported securities offered hereby.</w:t>
      </w:r>
    </w:p>
    <w:p>
      <w:pPr>
        <w:spacing w:after="0" w:line="236" w:lineRule="exact"/>
        <w:rPr>
          <w:rFonts w:ascii="Arial" w:cs="Arial" w:eastAsia="Arial" w:hAnsi="Arial"/>
          <w:sz w:val="17"/>
          <w:szCs w:val="17"/>
          <w:color w:val="231F20"/>
        </w:rPr>
      </w:pPr>
    </w:p>
    <w:p>
      <w:pPr>
        <w:ind w:left="380" w:hanging="372"/>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Includes 1,050 shares held jointly with his wife.</w:t>
      </w:r>
    </w:p>
    <w:p>
      <w:pPr>
        <w:spacing w:after="0" w:line="225" w:lineRule="exact"/>
        <w:rPr>
          <w:rFonts w:ascii="Arial" w:cs="Arial" w:eastAsia="Arial" w:hAnsi="Arial"/>
          <w:sz w:val="18"/>
          <w:szCs w:val="18"/>
          <w:color w:val="231F20"/>
        </w:rPr>
      </w:pPr>
    </w:p>
    <w:p>
      <w:pPr>
        <w:ind w:left="380" w:right="120" w:hanging="372"/>
        <w:spacing w:after="0" w:line="277"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Includes 1,550 shares of Class A Common Stock held by Susan K. Black. Monte R. Black and Susan K. Black, as co-trustees, are each deemed to have power to vote or dispose of the reported securities offered hereby.</w:t>
      </w:r>
    </w:p>
    <w:p>
      <w:pPr>
        <w:spacing w:after="0" w:line="170" w:lineRule="exact"/>
        <w:rPr>
          <w:rFonts w:ascii="Arial" w:cs="Arial" w:eastAsia="Arial" w:hAnsi="Arial"/>
          <w:sz w:val="18"/>
          <w:szCs w:val="18"/>
          <w:color w:val="231F20"/>
        </w:rPr>
      </w:pPr>
    </w:p>
    <w:p>
      <w:pPr>
        <w:ind w:left="380" w:right="340" w:hanging="372"/>
        <w:spacing w:after="0" w:line="277"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Thomas Canepa is our former General Counsel and Corporate Secretary. Includes 684,089 Class A common shares underlying options exercisable as of March 1, 2022.</w:t>
      </w:r>
    </w:p>
    <w:p>
      <w:pPr>
        <w:spacing w:after="0" w:line="170" w:lineRule="exact"/>
        <w:rPr>
          <w:rFonts w:ascii="Arial" w:cs="Arial" w:eastAsia="Arial" w:hAnsi="Arial"/>
          <w:sz w:val="18"/>
          <w:szCs w:val="18"/>
          <w:color w:val="231F20"/>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Gina DiSanto is deemed to have power to vote or dispose of the reported securities offered hereby.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George Syrianoudis is our employee. Includes 2,500 Class A common shares underlying options exercisable as of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160" w:firstLine="363"/>
        <w:spacing w:after="0" w:line="257" w:lineRule="auto"/>
        <w:rPr>
          <w:sz w:val="20"/>
          <w:szCs w:val="20"/>
          <w:color w:val="auto"/>
        </w:rPr>
      </w:pPr>
      <w:r>
        <w:rPr>
          <w:rFonts w:ascii="Arial" w:cs="Arial" w:eastAsia="Arial" w:hAnsi="Arial"/>
          <w:sz w:val="18"/>
          <w:szCs w:val="18"/>
          <w:i w:val="1"/>
          <w:iCs w:val="1"/>
          <w:color w:val="231F20"/>
        </w:rPr>
        <w:t>The following summary of the material terms of our securities is not intended to be a complete summary of the rights and preferences of such securities, and is qualified by reference to our Charter, the Bylaws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Authorized and Outstanding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Charter authorizes the issuance of 312,000,000 shares of capital stock, $0.0001 par value per share, consisting of 300,000,000 shares of Class A common stock and 12,000,000 shares of undesignated preferred stock. The outstanding shares of Class A common stock are duly authorized, validly issued, fully paid and non-assessable. As of March 1, 2022, there were approximately 196,452,683 shares of Class A common stock, and no shares of preferred stock,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Power</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22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stockholders have no preemptive or other subscription rights and there are no sinking fund or redemption provisions applicable to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preferred stock outstanding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March 1, 2022, there were 3,963,907 Warrants outstanding in the aggregate to purchase our Class A common stock, consisting of 2,314,418 Private Placement Warrants and 1,649,489 BGL Warrants.</w:t>
      </w:r>
    </w:p>
    <w:p>
      <w:pPr>
        <w:spacing w:after="0" w:line="17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Except as discussed below, including under “— </w:t>
      </w:r>
      <w:r>
        <w:rPr>
          <w:rFonts w:ascii="Arial" w:cs="Arial" w:eastAsia="Arial" w:hAnsi="Arial"/>
          <w:sz w:val="18"/>
          <w:szCs w:val="18"/>
          <w:i w:val="1"/>
          <w:iCs w:val="1"/>
          <w:color w:val="auto"/>
        </w:rPr>
        <w:t>Private Placement Warrants and BGL Warrants</w:t>
      </w:r>
      <w:r>
        <w:rPr>
          <w:rFonts w:ascii="Arial" w:cs="Arial" w:eastAsia="Arial" w:hAnsi="Arial"/>
          <w:sz w:val="18"/>
          <w:szCs w:val="18"/>
          <w:color w:val="auto"/>
        </w:rPr>
        <w:t>,” the Private Placement Warrants and BGL Warrants have terms and provisions that are identical to those of the previously outstanding Public Warrants, as described below.</w:t>
      </w:r>
    </w:p>
    <w:p>
      <w:pPr>
        <w:spacing w:after="0" w:line="18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Each whole Warrant entitles the registered holder to purchase one whole share of our Class A common stock at a price of $11.50 per share (or $10.00 per share in the case of the BGL Warrants), subject to adjustment as discussed below. Pursuant to the Warrant Agreement, a Warrant holder may exercise its Warrants only for a whole number of shares of Class A common stock. This means that only a whole Warrant may be exercised at any given time by a Warrant holder. The Warrants will expire on October 23, 2025, at 5:00 p.m., New York City time (or October 23, 2023, at 5:00 p.m., New York City time, in the case of the BGL Warrants), or earlier upon redemption or liquidation.</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filed this registration statement registering the resale of the Class A common stock issuable upon future exercise of the Private Placement Warrants or the BGL Warrants. We will use our reasonable best efforts to maintain the effectiveness of such registration statement, and a current prospectus relating thereto, until the expiration of the Warrants in accordance with the provisions of the Warrant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 and BGL Warrants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will not be redeemable by us so long as they are held by the Sponsor, the Anchor Investor or their permitted transferees or any of our officers or directors. Otherwise, the Private Placement Warrants have terms and provisions that are identical to the previously outstanding Public Warrants, including as to exercise price, exercisability and exercise period. If the Private Placement Warrants are held by someone other than the initial purchasers or their permitted transferees, the Private Placement Warrants will be redeemable by us and exercisable by such holders on the same basis as the previously outstanding Public Warrants.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Private Placement Warrants in that number of shares of Class A common stock equal to the quotient obtained by dividing (x) the product of the number of shares of Class A common stock underlying such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On July 24, 2020, Legacy Lordstown entered into an amended engagement agreement (the “BGL Letter Agreement”) with Brown, Gibbons Lang &amp; Company Securities, Inc. (“BGL Securities”), pursuant to which, among other things, BGL Securities was engaged to serve as a financial advisor to Legacy Lordstown in connection with the Business Combination and other related transactions. Among other things, Legacy Lordstown agreed that contemporaneously with the Closing, we would issue the BGL Warrants to BGL Securities or its designee (which in this case is BGL), entitling it to purchase, in the aggregate, 1% of our issued and outstanding Class A common stock, as determined immediately after giving effect to the Business Combination and the PIPE Investment.</w:t>
      </w:r>
    </w:p>
    <w:p>
      <w:pPr>
        <w:spacing w:after="0" w:line="16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BGL Warrants have an exercise price of $10.00 per share and are exercisable until October 23, 2023 without regard as to whether a registration statement with respect to the underlying shares is then in effect. The BGL Warrants and shares of Class A common stock issuable pursuant to the BGL Warrants were subject to the applicable lock-up restrictions contained in the Registration Rights and Lock-up Agreement,as described above. Other than the exercise price and other terms set forth in the BGL Letter Agreement as described above and certain other terms consistent with the nature of the BGL Warrants (i.e., that they were privately, rather than publicly, issued), the BGL Warrants are subject to substantially the same terms and conditions as the previously outstanding Public Warrants.</w:t>
      </w:r>
    </w:p>
    <w:p>
      <w:pPr>
        <w:spacing w:after="0" w:line="195"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Notwithstanding any rights that we have to redeem, exchange or force an exercise of the BGL Warrants, we agreed only to exercise any such rights over any BGL Warrants to the extent that the shares of Class A common stock that are issuable upon BGL’s exercise of the BGL Warrants (i) are not then subject to lock-up restrictions and (ii) either (a) are then subject to an effective registration statement covering the resale of such shares by BGL (and such registration statement is then available for such resale) or (b) may then be sold by BGL pursuant to Rule 144 under the Securities Act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may call the outstanding Warrants for redemption:</w:t>
      </w:r>
    </w:p>
    <w:p>
      <w:pPr>
        <w:spacing w:after="0" w:line="225" w:lineRule="exact"/>
        <w:rPr>
          <w:sz w:val="20"/>
          <w:szCs w:val="20"/>
          <w:color w:val="auto"/>
        </w:rPr>
      </w:pPr>
    </w:p>
    <w:p>
      <w:pPr>
        <w:ind w:left="680" w:hanging="32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in whole and not in part;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at a price of $0.01 per Warrant;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231F20"/>
        </w:rPr>
        <w:t>upon not less than 30 days’ prior written notice of redemption (the “30-day redemption period”) to each Warrant holder; and</w:t>
      </w:r>
    </w:p>
    <w:p>
      <w:pPr>
        <w:spacing w:after="0" w:line="248" w:lineRule="exact"/>
        <w:rPr>
          <w:rFonts w:ascii="Arial" w:cs="Arial" w:eastAsia="Arial" w:hAnsi="Arial"/>
          <w:sz w:val="16"/>
          <w:szCs w:val="16"/>
          <w:color w:val="auto"/>
        </w:rPr>
      </w:pPr>
    </w:p>
    <w:p>
      <w:pPr>
        <w:jc w:val="both"/>
        <w:ind w:left="680" w:right="340" w:hanging="321"/>
        <w:spacing w:after="0" w:line="286"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231F20"/>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6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or $10.00 Warrant exercise price after the redemption notice is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Shares of Class A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may redeem the outstanding Warrants:</w:t>
      </w:r>
    </w:p>
    <w:p>
      <w:pPr>
        <w:spacing w:after="0" w:line="225" w:lineRule="exact"/>
        <w:rPr>
          <w:sz w:val="20"/>
          <w:szCs w:val="20"/>
          <w:color w:val="auto"/>
        </w:rPr>
      </w:pPr>
    </w:p>
    <w:p>
      <w:pPr>
        <w:ind w:left="680" w:hanging="321"/>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in whole and not in part;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right="140" w:hanging="321"/>
        <w:spacing w:after="0" w:line="263"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at a price equal to a number of shares of Class A common stock to be determined by reference to the table below, based on the redemption date and the “fair market value” of our Class A common stock (as defined below) except as otherwise described below;</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upon a minimum of 30 days’ prior written notice of redemption;</w:t>
      </w:r>
    </w:p>
    <w:p>
      <w:pPr>
        <w:spacing w:after="0" w:line="192" w:lineRule="exact"/>
        <w:rPr>
          <w:sz w:val="20"/>
          <w:szCs w:val="20"/>
          <w:color w:val="auto"/>
        </w:rPr>
      </w:pPr>
    </w:p>
    <w:p>
      <w:pPr>
        <w:ind w:left="680" w:right="300"/>
        <w:spacing w:after="0" w:line="263" w:lineRule="auto"/>
        <w:rPr>
          <w:sz w:val="20"/>
          <w:szCs w:val="20"/>
          <w:color w:val="auto"/>
        </w:rPr>
      </w:pPr>
      <w:r>
        <w:rPr>
          <w:rFonts w:ascii="Arial" w:cs="Arial" w:eastAsia="Arial" w:hAnsi="Arial"/>
          <w:sz w:val="18"/>
          <w:szCs w:val="18"/>
          <w:color w:val="231F20"/>
        </w:rPr>
        <w:t>if, and only if, the last reported sale price of our Class A common stock equals or exceeds $10.00 per share (as adjusted for stock splits, stock dividends, reorganizations, recapitalizations and the like) on the trading day prior to the date on which we send the notice of redemption to the Warrant holders; and</w:t>
      </w:r>
    </w:p>
    <w:p>
      <w:pPr>
        <w:spacing w:after="0" w:line="216" w:lineRule="exact"/>
        <w:rPr>
          <w:sz w:val="20"/>
          <w:szCs w:val="20"/>
          <w:color w:val="auto"/>
        </w:rPr>
      </w:pPr>
    </w:p>
    <w:p>
      <w:pPr>
        <w:ind w:left="680" w:right="160" w:hanging="321"/>
        <w:spacing w:after="0" w:line="263"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if, and only if, there is an effective registration statement covering the shares of Class A common stock issuable upon exercise of the Warrants and a current prospectus relating thereto available throughout the 30-day period after written notice of redemption is given.</w:t>
      </w:r>
    </w:p>
    <w:p>
      <w:pPr>
        <w:spacing w:after="0" w:line="18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numbers in the table below represent the “redemption prices,” or the number of shares of Class A common stock that a Warrant holder will receive upon redemption by us pursuant to this redemption feature, based on the “fair market value” of our Class A common stock on the corresponding redemption date,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16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stock prices set forth in the column headings of the table below will be adjusted as of any date on which the number of shares issuable upon exercise of a Warrant is adjusted. The adjusted stock prices in the column headings will equal the stock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Redemption Date</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93"/>
              </w:rPr>
              <w:t>Fair Market Value of Class A Common Stock</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4"/>
                <w:szCs w:val="14"/>
                <w:b w:val="1"/>
                <w:bCs w:val="1"/>
                <w:color w:val="231F20"/>
              </w:rPr>
              <w:t>(period to expiration of Warrants)</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231F20"/>
              </w:rPr>
              <w:t>$10.00</w:t>
            </w:r>
          </w:p>
        </w:tc>
        <w:tc>
          <w:tcPr>
            <w:tcW w:w="14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231F20"/>
                <w:w w:val="88"/>
              </w:rPr>
              <w:t>$11.00</w:t>
            </w:r>
          </w:p>
        </w:tc>
        <w:tc>
          <w:tcPr>
            <w:tcW w:w="1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231F20"/>
              </w:rPr>
              <w:t>$12.00</w:t>
            </w: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231F20"/>
                <w:w w:val="97"/>
              </w:rPr>
              <w:t>$13.00</w:t>
            </w:r>
          </w:p>
        </w:tc>
        <w:tc>
          <w:tcPr>
            <w:tcW w:w="16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231F20"/>
                <w:w w:val="88"/>
              </w:rPr>
              <w:t>$14.00</w:t>
            </w:r>
          </w:p>
        </w:tc>
        <w:tc>
          <w:tcPr>
            <w:tcW w:w="16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Arial" w:cs="Arial" w:eastAsia="Arial" w:hAnsi="Arial"/>
                <w:sz w:val="14"/>
                <w:szCs w:val="14"/>
                <w:b w:val="1"/>
                <w:bCs w:val="1"/>
                <w:color w:val="231F20"/>
              </w:rPr>
              <w:t>$15.00</w:t>
            </w:r>
          </w:p>
        </w:tc>
        <w:tc>
          <w:tcPr>
            <w:tcW w:w="14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Arial" w:cs="Arial" w:eastAsia="Arial" w:hAnsi="Arial"/>
                <w:sz w:val="14"/>
                <w:szCs w:val="14"/>
                <w:b w:val="1"/>
                <w:bCs w:val="1"/>
                <w:color w:val="231F20"/>
              </w:rPr>
              <w:t>$16.00</w:t>
            </w:r>
          </w:p>
        </w:tc>
        <w:tc>
          <w:tcPr>
            <w:tcW w:w="14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Arial" w:cs="Arial" w:eastAsia="Arial" w:hAnsi="Arial"/>
                <w:sz w:val="14"/>
                <w:szCs w:val="14"/>
                <w:b w:val="1"/>
                <w:bCs w:val="1"/>
                <w:color w:val="231F20"/>
              </w:rPr>
              <w:t>$17.00</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231F20"/>
              </w:rPr>
              <w:t>$18.00</w:t>
            </w: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57 months</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7"/>
              </w:rPr>
              <w:t>0.257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88"/>
              </w:rPr>
              <w:t>0.277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7"/>
              </w:rPr>
              <w:t>0.294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0.310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93"/>
              </w:rPr>
              <w:t>0.324</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231F20"/>
                <w:w w:val="97"/>
              </w:rPr>
              <w:t>0.337</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231F20"/>
                <w:w w:val="97"/>
              </w:rPr>
              <w:t>0.348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231F20"/>
                <w:w w:val="93"/>
              </w:rPr>
              <w:t>0.358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0.365</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54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0.252</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0.272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0.291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0.307</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0.322</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0.335</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0.347</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0.357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0.365</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51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0.246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0.268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0.287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0.304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0.320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0.333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0.346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0.357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0.365</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48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0.241</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0.263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0.283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0.301</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0.317</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0.332</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0.344</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0.356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0.365</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45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0.235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0.258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0.279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0.298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0.315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0.330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0.343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0.356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0.365</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42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0.228</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0.252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0.274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0.294</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0.312</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0.328</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0.342</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0.355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39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0.246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0.269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0.290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0.309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0.325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0.354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36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0.213</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0.239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0.263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0.285</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0.305</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0.323</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0.339</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0.353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33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0.205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0.232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0.280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0.301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0.320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0.337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0.352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30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0.196</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0.224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0.250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0.274</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0.297</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0.316</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0.335</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0.351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27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0.185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0.214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0.242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0.268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0.291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0.313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0.332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0.350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24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0.173</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0.204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0.233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0.260</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0.285</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0.308</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0.329</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0.348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21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0.161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0.193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0.223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0.252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0.279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0.304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0.326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0.347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0.364</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18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0.146</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0.179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0.211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0.242</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0.271</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0.298</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0.322</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0.345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0.363</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15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0.130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0.164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0.197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0.230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0.262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0.291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0.363</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12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0.111</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0.146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0.181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0.216</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0.250</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0.282</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0.312</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0.339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0.363</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9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0.090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0.125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0.162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0.199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0.237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0.272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0.305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0.336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0.362</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231F20"/>
              </w:rPr>
              <w:t>6 months</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0.065</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231F20"/>
                <w:w w:val="88"/>
              </w:rPr>
              <w:t>0.099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0.137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0.178</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0.219</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0.259</w:t>
            </w:r>
          </w:p>
        </w:tc>
        <w:tc>
          <w:tcPr>
            <w:tcW w:w="14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0.296</w:t>
            </w:r>
          </w:p>
        </w:tc>
        <w:tc>
          <w:tcPr>
            <w:tcW w:w="1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0.331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0.362</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3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0.034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0.065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0.104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0.150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3"/>
              </w:rPr>
              <w:t>0.197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97"/>
              </w:rPr>
              <w:t>0.243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7"/>
              </w:rPr>
              <w:t>0.286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231F20"/>
                <w:w w:val="93"/>
              </w:rPr>
              <w:t>0.326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0.361</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231F20"/>
              </w:rPr>
              <w:t>0 months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231F20"/>
              </w:rPr>
              <w:t>—</w:t>
            </w:r>
          </w:p>
        </w:tc>
        <w:tc>
          <w:tcPr>
            <w:tcW w:w="660" w:type="dxa"/>
            <w:vAlign w:val="bottom"/>
            <w:gridSpan w:val="2"/>
          </w:tcPr>
          <w:p>
            <w:pPr>
              <w:ind w:left="28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0.042</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w w:val="93"/>
              </w:rPr>
              <w:t>0.115</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231F20"/>
                <w:w w:val="93"/>
              </w:rPr>
              <w:t>0.179</w:t>
            </w:r>
          </w:p>
        </w:tc>
        <w:tc>
          <w:tcPr>
            <w:tcW w:w="16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231F20"/>
                <w:w w:val="97"/>
              </w:rPr>
              <w:t>0.233</w:t>
            </w:r>
          </w:p>
        </w:tc>
        <w:tc>
          <w:tcPr>
            <w:tcW w:w="14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231F20"/>
                <w:w w:val="97"/>
              </w:rPr>
              <w:t>0.281</w:t>
            </w:r>
          </w:p>
        </w:tc>
        <w:tc>
          <w:tcPr>
            <w:tcW w:w="14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3"/>
              </w:rPr>
              <w:t>0.323</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231F20"/>
              </w:rPr>
              <w:t>0.361</w:t>
            </w:r>
          </w:p>
        </w:tc>
      </w:tr>
      <w:tr>
        <w:trPr>
          <w:trHeight w:val="850"/>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0"/>
        </w:trPr>
        <w:tc>
          <w:tcPr>
            <w:tcW w:w="3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Warrants is $11.00 per share, and at such time there are 57 months until the expiration of the Warrants, we may choose to, pursuant to this redemption feature, redeem the Warrants at a “redemption price” of 0.277 shares of Class A common stock for each whole Warrant. For an example where the exact fair market value and redemption date are not as set forth in the table above, if the average last reported sale price of our Class A common stock for the 10 trading days ending on the third trading date prior to the date on which the notice of redemption is sent to the holders of the Warrants is $13.50 per share, and at such time there are 38 months until the expiration of the Warrants, we may choose to, pursuant to this redemption feature, redeem the Warrants at a “redemption price” of 0.298 shares of Class A common stock for each whole Warrant. Finally, as reflected in the table above, we can redeem the Warrants for no consideration in the event that the Warrants are “out of the money” (i.e. the trading price of our Class A common stock is below the exercise price of the Warrants) and about to expire.</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stated above, we can redeem the Warrants when the Class A common stock is trading at a price starting at $10.00, which is at or below the exercise price of $10.00 or $11.50, as applicable, because it will provide certainty with respect to our capital structure and cash position while providing Warrant holders with fair value (in the form of shares of Class A common stock). If we choose to redeem the Warrants when the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Class A common stock was trading at a price higher than the exercise price.</w:t>
      </w:r>
    </w:p>
    <w:p>
      <w:pPr>
        <w:spacing w:after="0" w:line="16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No fractional shares of Class A common stock will be issued upon redemption. If, upon redemption, a holder would be entitled to receive a fractional interest in a share, we will round down to the nearest whole number of shares of Class A common stock to be issued to the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231F20"/>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elects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elect this option, our Sponsor, our Anchor Investor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7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w:t>
      </w:r>
      <w:r>
        <w:rPr>
          <w:rFonts w:ascii="Arial" w:cs="Arial" w:eastAsia="Arial" w:hAnsi="Arial"/>
          <w:sz w:val="17"/>
          <w:szCs w:val="17"/>
          <w:color w:val="231F20"/>
        </w:rPr>
        <w:t>under any other equity securities sold in such rights offering that are convertible into or exercisable for</w:t>
      </w:r>
      <w:r>
        <w:rPr>
          <w:rFonts w:ascii="Arial" w:cs="Arial" w:eastAsia="Arial" w:hAnsi="Arial"/>
          <w:sz w:val="17"/>
          <w:szCs w:val="17"/>
          <w:color w:val="auto"/>
        </w:rPr>
        <w:t xml:space="preserve"> </w:t>
      </w:r>
      <w:r>
        <w:rPr>
          <w:rFonts w:ascii="Arial" w:cs="Arial" w:eastAsia="Arial" w:hAnsi="Arial"/>
          <w:sz w:val="17"/>
          <w:szCs w:val="17"/>
          <w:color w:val="231F20"/>
        </w:rPr>
        <w:t xml:space="preserve">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w:t>
      </w:r>
      <w:r>
        <w:rPr>
          <w:rFonts w:ascii="Arial" w:cs="Arial" w:eastAsia="Arial" w:hAnsi="Arial"/>
          <w:sz w:val="17"/>
          <w:szCs w:val="17"/>
          <w:color w:val="000000"/>
        </w:rPr>
        <w:t>determining</w:t>
      </w:r>
      <w:r>
        <w:rPr>
          <w:rFonts w:ascii="Arial" w:cs="Arial" w:eastAsia="Arial" w:hAnsi="Arial"/>
          <w:sz w:val="17"/>
          <w:szCs w:val="17"/>
          <w:color w:val="231F20"/>
        </w:rPr>
        <w:t xml:space="preserve">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or (c) to satisfy the redemption rights of the holders of Class A common stock in connection with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6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its Warrants immediately prior to such event. If less than 70.0%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w:t>
      </w:r>
    </w:p>
    <w:p>
      <w:pPr>
        <w:spacing w:after="0" w:line="38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Warrants were issued in registered form under a Warrant Agreement between American Stock Transfer &amp; Trust Company, as warrant agent, and us. The Warrant Agreement provides that the terms of the Warrants may be amended without the consent of any holder to cure any ambiguity or correct any defective provision.</w:t>
      </w:r>
    </w:p>
    <w:p>
      <w:pPr>
        <w:spacing w:after="0" w:line="184"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88"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Mr. Burns is subject to certain restrictions on transfer until the termination of applicable lock-up periods. See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for lock-up restrictions on our securities under the Registration Rights and Lock-Up Agreement and other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expansion and debt repayment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existing and future outstanding indebtedness we or our subsidiaries incur.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Our Charter and the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firstLine="324"/>
        <w:spacing w:after="0" w:line="233"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nor earlier than the open of business on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before the meeting and not later than the later of (x) the close of business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before the meeting or (y) the close of business on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w:t>
      </w:r>
    </w:p>
    <w:p>
      <w:pPr>
        <w:spacing w:after="0" w:line="210"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231F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 for Certain Lawsuits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8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70" w:lineRule="exact"/>
        <w:rPr>
          <w:sz w:val="20"/>
          <w:szCs w:val="20"/>
          <w:color w:val="auto"/>
        </w:rPr>
      </w:pPr>
    </w:p>
    <w:p>
      <w:pPr>
        <w:ind w:left="680" w:hanging="321"/>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231F20"/>
        </w:rPr>
        <w:t>a stockholder who owns 15% or more of our outstanding voting stock (otherwise known as an “interested stockholder”);</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an affiliate of an interested stockholder; or</w:t>
      </w:r>
    </w:p>
    <w:p>
      <w:pPr>
        <w:spacing w:after="0" w:line="225" w:lineRule="exact"/>
        <w:rPr>
          <w:rFonts w:ascii="Arial" w:cs="Arial" w:eastAsia="Arial" w:hAnsi="Arial"/>
          <w:sz w:val="18"/>
          <w:szCs w:val="18"/>
          <w:color w:val="auto"/>
        </w:rPr>
      </w:pPr>
    </w:p>
    <w:p>
      <w:pPr>
        <w:ind w:left="680" w:right="84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an associate of an interested stockholder, for three years following the date that the stockholder became an interested stockholder.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70" w:lineRule="exact"/>
        <w:rPr>
          <w:sz w:val="20"/>
          <w:szCs w:val="20"/>
          <w:color w:val="auto"/>
        </w:rPr>
      </w:pPr>
    </w:p>
    <w:p>
      <w:pPr>
        <w:ind w:left="680" w:right="280" w:hanging="321"/>
        <w:spacing w:after="0" w:line="277"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our board of directors approves the transaction that made the stockholder an “interested stockholder,” prior to the date of the transaction;</w:t>
      </w:r>
    </w:p>
    <w:p>
      <w:pPr>
        <w:spacing w:after="0" w:line="170" w:lineRule="exact"/>
        <w:rPr>
          <w:rFonts w:ascii="Arial" w:cs="Arial" w:eastAsia="Arial" w:hAnsi="Arial"/>
          <w:sz w:val="18"/>
          <w:szCs w:val="18"/>
          <w:color w:val="auto"/>
        </w:rPr>
      </w:pPr>
    </w:p>
    <w:p>
      <w:pPr>
        <w:jc w:val="both"/>
        <w:ind w:left="680" w:right="380" w:hanging="321"/>
        <w:spacing w:after="0" w:line="263"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24" w:lineRule="exact"/>
        <w:rPr>
          <w:sz w:val="20"/>
          <w:szCs w:val="20"/>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for any transaction from which the director derives an improper personal benefit;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for 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for any unlawful payment of dividends or redemption of shares;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for any breach of a director’s duty of loyalty to the corporation or its stockholders.</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231F20"/>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5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6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Rule 144</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us. However, Rule 144 also includes an important exception to this prohibition if the following conditions are met:</w:t>
      </w:r>
    </w:p>
    <w:p>
      <w:pPr>
        <w:spacing w:after="0" w:line="184"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83"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Upon the Closing, we ceased to be a shell company and as of the date of this prospectus, we meet these conditions and Rule 144 is available.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So long as Rule 144 remains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92"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231F20"/>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49" w:lineRule="exact"/>
        <w:rPr>
          <w:sz w:val="20"/>
          <w:szCs w:val="20"/>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1% of the total number of shares of Class A common stock then- outstanding; or</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the average weekly reported trading volume of the Class A common stock during the four calendar weeks preceding the filing of a notice on Form 144 with respect to the sale.</w:t>
      </w:r>
    </w:p>
    <w:p>
      <w:pPr>
        <w:spacing w:after="0" w:line="17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transfer agent, warrant agent and registrar for our Class A common stock and Warrants is American Stock Transfer &amp; Trust Company. We have agreed to indemnify American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symbol “RIDE.”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231F20"/>
        </w:rPr>
        <w:t>We are registering the issuance by us of up to an aggregate of up to 2,314,418 shares of our Class A common stock that are issuable upon the exercise of the Private Placement Warrants by the holders thereof. We are also registering the resale by the Selling Securityholders or their permitted transferees from time to time of (i) up to 72,133,238 shares of Class A common stock (including up to 3,955,907 shares of Class A common stock that may be issued upon exercise of the Private Placement Warrants and BGL Warrants) and (ii) up to 2,314,418 Private Placement Warrants.</w:t>
      </w:r>
    </w:p>
    <w:p>
      <w:pPr>
        <w:spacing w:after="0" w:line="188"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We are required to pay all fees and expenses incident to the registration of the shares of our Class A common stock and Private Placement Warrants to be offered and sold pursuant to this prospectus. The Selling Securityholders will bear all commissions and discounts, if any, attributable to their sale of shares of our Class A common stock or Private Placement Warrants.</w:t>
      </w:r>
    </w:p>
    <w:p>
      <w:pPr>
        <w:spacing w:after="0" w:line="149"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4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shares of Class A common stock and Private Placement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shares of Class A common stock or Private Placement Warrants by one or more of, or a combination of, the following methods:</w:t>
      </w:r>
    </w:p>
    <w:p>
      <w:pPr>
        <w:spacing w:after="0" w:line="165" w:lineRule="exact"/>
        <w:rPr>
          <w:sz w:val="20"/>
          <w:szCs w:val="20"/>
          <w:color w:val="auto"/>
        </w:rPr>
      </w:pPr>
    </w:p>
    <w:p>
      <w:pPr>
        <w:ind w:left="680" w:hanging="321"/>
        <w:spacing w:after="0"/>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231F20"/>
        </w:rPr>
        <w:t>purchases by a broker-dealer as principal and resale by such broker-dealer for its own account pursuant to this prospectus;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block trades in which the broker-dealer so engaged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an over-the-counter distribution in accordance with the rules of the Nasdaq Stock Market;</w:t>
      </w:r>
    </w:p>
    <w:p>
      <w:pPr>
        <w:spacing w:after="0" w:line="225" w:lineRule="exact"/>
        <w:rPr>
          <w:rFonts w:ascii="Arial" w:cs="Arial" w:eastAsia="Arial" w:hAnsi="Arial"/>
          <w:sz w:val="18"/>
          <w:szCs w:val="18"/>
          <w:color w:val="auto"/>
        </w:rPr>
      </w:pPr>
    </w:p>
    <w:p>
      <w:pPr>
        <w:ind w:left="680" w:right="300" w:hanging="321"/>
        <w:spacing w:after="0" w:line="286"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231F20"/>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65" w:lineRule="exact"/>
        <w:rPr>
          <w:rFonts w:ascii="Arial" w:cs="Arial" w:eastAsia="Arial" w:hAnsi="Arial"/>
          <w:sz w:val="17"/>
          <w:szCs w:val="17"/>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to or through underwriters or broker-dealers;</w:t>
      </w:r>
    </w:p>
    <w:p>
      <w:pPr>
        <w:spacing w:after="0" w:line="225" w:lineRule="exact"/>
        <w:rPr>
          <w:rFonts w:ascii="Arial" w:cs="Arial" w:eastAsia="Arial" w:hAnsi="Arial"/>
          <w:sz w:val="18"/>
          <w:szCs w:val="18"/>
          <w:color w:val="auto"/>
        </w:rPr>
      </w:pPr>
    </w:p>
    <w:p>
      <w:pPr>
        <w:ind w:left="680" w:hanging="321"/>
        <w:spacing w:after="0" w:line="311" w:lineRule="auto"/>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231F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in privately negotiated transactions;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in options transactions;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through a combination of any of the above methods of sale;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our securities in the course of hedging the positions they assume with Selling Securityholders. The Selling Securityholders may also sell our securities short and redeliver the shares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2"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231F20"/>
        </w:rPr>
        <w:t>A Selling Securityholder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securities, and may use securities received from any Selling Securityholder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 holder of Warrants may exercise its Warrants in accordance with the Warrant Agreement on or before the expiration date set forth therein by surrendering, at the office of the warrant agent, American Stock Transfer &amp; Trust Company, the certificate evidencing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39"/>
        <w:spacing w:after="0" w:line="286" w:lineRule="auto"/>
        <w:rPr>
          <w:sz w:val="20"/>
          <w:szCs w:val="20"/>
          <w:color w:val="auto"/>
        </w:rPr>
      </w:pPr>
      <w:r>
        <w:rPr>
          <w:rFonts w:ascii="Arial" w:cs="Arial" w:eastAsia="Arial" w:hAnsi="Arial"/>
          <w:sz w:val="17"/>
          <w:szCs w:val="17"/>
          <w:color w:val="auto"/>
        </w:rPr>
        <w:t>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231F20"/>
        </w:rPr>
        <w:t xml:space="preserve">The following is a general discussion of the material U.S. federal income tax consequences relating to the ownership and disposition of our Class A common stock and Warrants. The discussion is based on the Internal Revenue Code of 1986, as amended (the “Code”), Treasury regulations, judicial decisions, published positions of the Internal Revenue Service (the “IRS”) and other applicable authorities, all as in effect as of the date hereof and all of which are subject to change or differing interpretations (possibly with retroactive effect). We </w:t>
      </w:r>
      <w:r>
        <w:rPr>
          <w:rFonts w:ascii="Arial" w:cs="Arial" w:eastAsia="Arial" w:hAnsi="Arial"/>
          <w:sz w:val="17"/>
          <w:szCs w:val="17"/>
          <w:color w:val="000000"/>
        </w:rPr>
        <w:t>have</w:t>
      </w:r>
      <w:r>
        <w:rPr>
          <w:rFonts w:ascii="Arial" w:cs="Arial" w:eastAsia="Arial" w:hAnsi="Arial"/>
          <w:sz w:val="17"/>
          <w:szCs w:val="17"/>
          <w:color w:val="231F20"/>
        </w:rPr>
        <w:t xml:space="preserve"> not requested, and will not request, a ruling from the IRS with respect to any of the U.S. federal income tax considerations described below, and as a result there can be no assurance that the IRS will not disagree with or successfully challenge any of the conclusions we have reached and that are described herein.</w:t>
      </w:r>
    </w:p>
    <w:p>
      <w:pPr>
        <w:spacing w:after="0" w:line="17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This discussion deals only with beneficial owners that hold the Class A common stock or Warrants (as the case may be) as capital assets within the meaning of Section 1221 of the Code (generally, property held for investment). Moreover, this discussion is for general information only and does not address all of the U.S. federal income tax consequences that may be relevant to particular investors in light of their personal circumstances or to certain types of investors subject to special tax rules (such as U.S. holders (as defined below) having a functional currency other than the U.S. dollar, former citizens and residents of the United States, individual retirement accounts or other tax deferred accounts, banks or other financial institutions, persons subject to the alternative minimum tax, grantor trusts, real estate investment trusts, insurance companies, tax-exempt entities or organizations, partnerships or other pass-through entities or arrangements for U.S. federal income tax purposes and investors therein, dealers in securities or currencies, traders in securities that elect to use a mark-to-market method of accounting for their securities holdings, persons holding Class A common stock or Warrants in connection with a hedging transaction, straddle, conversion transaction or other integrated transaction, taxpayers required to recognize income with respect to the Class A common stock or Warrants for U.S. federal income tax purposes no later than when such income is taken into account in applicable financial statements, corporations treated as personal holding companies, U.S. holders who hold Class A common stock or Warrants through a non-U.S. broker or other intermediary, controlled foreign corporations, passive foreign investment companies or non-U.S. holders (as defined below) that are owned or controlled by U.S. holders).</w:t>
      </w:r>
    </w:p>
    <w:p>
      <w:pPr>
        <w:spacing w:after="0" w:line="167"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231F20"/>
        </w:rPr>
        <w:t>This discussion does not address any U.S. federal tax consequences other than income tax consequences, such as U.S. federal estate and gift tax consequences, or any tax consequences under any state, local or foreign laws. Holders are urged to consult their own tax advisors as to the particular tax consequences to them of their ownership and disposition of Class A common stock or Warrants, including the applicability of any other U.S. federal tax laws or any state, local or foreign tax laws or any treaty, and any changes (or proposed changes) in applicable tax laws or interpretations thereof.</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31F20"/>
        </w:rPr>
        <w:t>U.S.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For purposes of this discussion, a “U.S. holder” means a beneficial owner (as determined for U.S. federal income tax purposes)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Class A common stock or Warrants that is, or is treated as, one of the following:</w:t>
      </w:r>
    </w:p>
    <w:p>
      <w:pPr>
        <w:spacing w:after="0" w:line="211" w:lineRule="exact"/>
        <w:rPr>
          <w:sz w:val="20"/>
          <w:szCs w:val="20"/>
          <w:color w:val="auto"/>
        </w:rPr>
      </w:pPr>
    </w:p>
    <w:p>
      <w:pPr>
        <w:ind w:left="680" w:hanging="321"/>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231F20"/>
        </w:rPr>
        <w:t>a citizen or individual resident of the United States as determined for U.S. federal income tax purposes;</w:t>
      </w:r>
    </w:p>
    <w:p>
      <w:pPr>
        <w:spacing w:after="0" w:line="225"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231F20"/>
        </w:rPr>
        <w:t>a corporation (including any entity treated as a corporation for U.S. federal income tax purposes) created or organized in or under the laws of the United States or any state thereof or the District of Columbia;</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231F20"/>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231F20"/>
        </w:rPr>
        <w:t>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Treasury regulations to be treated as a U.S. person.</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“non-U.S. holder” means any beneficial owner of Class A common stock or Warrants (other than a partnership or any entity or arrangement treated as a partnership for U.S. federal income tax purposes) that is not a U.S. holder.</w:t>
      </w:r>
    </w:p>
    <w:p>
      <w:pPr>
        <w:spacing w:after="0" w:line="170"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If an entity or arrangement that is classified as a partnership for U.S. federal income tax purposes is a beneficial owner of Class A common stock or Warrants, the U.S. federal income tax treatment of a partner in the partnership will generally depend on the status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partner and upon the activities of the partnership. Partnerships holding Class A common stock or Warrants, and partners in such partnerships, should consult their tax advisors as to the particular U.S. federal income tax consequences of acquiring, holding and disposing of Class A common stock or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Distributions, if any, made on our Class A common stock, other than certain pro rata distributions of common shares, generally will be included in income as ordinary dividend income to the extent of our current or accumulated earnings and profits, as determined under U.S. federal income tax principles. A distribution in excess of our current and accumulated earnings and profits will be treated as a tax-free return of capital, which reduces the U.S. holder’s tax basis in the Class A common stock. Any distribution in excess of the U.S. holder’s tax basis in the Class A common stock will be treated as capital gain and as long-term capital gain if the U.S. holder’s holding period in the Class A common stock exceeds one year. Certain non-corporate U.S. holders may be entitled to a preferential rate of tax on such dividends if certain holding periods and other requirements are met. Dividends received by a corporate U.S. holder may be eligible for the dividends-received deduction, subject to applicable limitations.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Upon the sale, taxable exchange, or other taxable disposition of our Class A common stock, a U.S. holder generally will recognize capital gain or loss equal to the difference between (i) the amount of cash and the fair market value of any property received upon such taxable disposition and (ii) its tax basis in the Class A common stock. Such capital gain or loss will generally be long-term capital gain or loss if such </w:t>
      </w:r>
      <w:r>
        <w:rPr>
          <w:rFonts w:ascii="Arial" w:cs="Arial" w:eastAsia="Arial" w:hAnsi="Arial"/>
          <w:sz w:val="18"/>
          <w:szCs w:val="18"/>
          <w:color w:val="231F20"/>
        </w:rPr>
        <w:t>U.S. holder’s holding period in the Class A common stock is more than one year at the time of the taxable disposition. Long-term capital gains recognized by certain non-corporate U.S. holders generally are subject to a reduced rate of U.S. federal income tax. The deductibility of capital losses is subject to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231F20"/>
        </w:rPr>
        <w:t xml:space="preserve">Except as discussed below with respect to the cashless exercise of a Warrant, a U.S. holder will not recognize gain or loss upon the exercise of a Warrant. The U.S. holder’s tax basis in the share of our </w:t>
      </w:r>
      <w:r>
        <w:rPr>
          <w:rFonts w:ascii="Arial" w:cs="Arial" w:eastAsia="Arial" w:hAnsi="Arial"/>
          <w:sz w:val="17"/>
          <w:szCs w:val="17"/>
          <w:color w:val="000000"/>
        </w:rPr>
        <w:t>Class A common stock received upon exercise of the Warrant will</w:t>
      </w:r>
      <w:r>
        <w:rPr>
          <w:rFonts w:ascii="Arial" w:cs="Arial" w:eastAsia="Arial" w:hAnsi="Arial"/>
          <w:sz w:val="17"/>
          <w:szCs w:val="17"/>
          <w:color w:val="231F20"/>
        </w:rPr>
        <w:t xml:space="preserve"> </w:t>
      </w:r>
      <w:r>
        <w:rPr>
          <w:rFonts w:ascii="Arial" w:cs="Arial" w:eastAsia="Arial" w:hAnsi="Arial"/>
          <w:sz w:val="17"/>
          <w:szCs w:val="17"/>
          <w:color w:val="000000"/>
        </w:rPr>
        <w:t>generally be an amount equal to the sum of the U.S. holder’s initial investment in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7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17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00" w:firstLine="324"/>
        <w:spacing w:after="0" w:line="301" w:lineRule="auto"/>
        <w:rPr>
          <w:sz w:val="20"/>
          <w:szCs w:val="20"/>
          <w:color w:val="auto"/>
        </w:rPr>
      </w:pPr>
      <w:r>
        <w:rPr>
          <w:rFonts w:ascii="Arial" w:cs="Arial" w:eastAsia="Arial" w:hAnsi="Arial"/>
          <w:sz w:val="16"/>
          <w:szCs w:val="16"/>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7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 redemption of Warrants for Class A common stock described in this prospectus under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should be treated as a “recapitalization” within the meaning of Section 368(a)(1)(E) of the Code. Accordingly, you should not recognize any gain or loss on the redemption of Warrants for shares of our Class A common stock. Your aggregate tax basis in the shares of Class A common stock received in the redemption should equal your aggregate tax basis in your Warrants redeemed and your holding period for the shares of Class A common stock received in redemption of your Warrants should include your holding period for your surrendered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6"/>
          <w:szCs w:val="16"/>
          <w:i w:val="1"/>
          <w:iCs w:val="1"/>
          <w:color w:val="auto"/>
        </w:rPr>
        <w:t>Description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of Securities — Warrants</w:t>
      </w:r>
      <w:r>
        <w:rPr>
          <w:rFonts w:ascii="Arial" w:cs="Arial" w:eastAsia="Arial" w:hAnsi="Arial"/>
          <w:sz w:val="16"/>
          <w:szCs w:val="16"/>
          <w:color w:val="auto"/>
        </w:rPr>
        <w:t>.” An adjustment which has the effect of preventing dilution is generally not a taxable event. Nevertheless, a</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withholding in the same manner as if such U.S. holder received a cash distribution from us equal to the fair market value of such increased interest.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Passive Income</w:t>
      </w:r>
    </w:p>
    <w:p>
      <w:pPr>
        <w:spacing w:after="0" w:line="2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U.S. holders that are individuals, estates or trusts and whose income exceeds certain thresholds generally will be subject to a 3.8% Medicare contribution tax on unearned income, including, among other things, dividend income and capital gains from the sale, exchange or other taxable disposition of, Class A common stock or Warrants, subject to certain limitations and exceptions.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Constructive Distributions</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7"/>
          <w:szCs w:val="17"/>
          <w:i w:val="1"/>
          <w:iCs w:val="1"/>
          <w:color w:val="auto"/>
        </w:rPr>
        <w:t>Tax Consequences to Non-U.S. Holders — Gain on Sale, Exchange or Other Taxable Disposition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Common Stock and Warrants</w:t>
      </w:r>
      <w:r>
        <w:rPr>
          <w:rFonts w:ascii="Arial" w:cs="Arial" w:eastAsia="Arial" w:hAnsi="Arial"/>
          <w:sz w:val="17"/>
          <w:szCs w:val="17"/>
          <w:color w:val="auto"/>
        </w:rPr>
        <w:t>” below.</w:t>
      </w:r>
    </w:p>
    <w:p>
      <w:pPr>
        <w:spacing w:after="0" w:line="18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Tax Consequences to U.S. Holders — Exercise of</w:t>
      </w:r>
      <w:r>
        <w:rPr>
          <w:rFonts w:ascii="Arial" w:cs="Arial" w:eastAsia="Arial" w:hAnsi="Arial"/>
          <w:sz w:val="18"/>
          <w:szCs w:val="18"/>
          <w:color w:val="auto"/>
        </w:rPr>
        <w:t xml:space="preserve"> </w:t>
      </w:r>
      <w:r>
        <w:rPr>
          <w:rFonts w:ascii="Arial" w:cs="Arial" w:eastAsia="Arial" w:hAnsi="Arial"/>
          <w:sz w:val="18"/>
          <w:szCs w:val="18"/>
          <w:i w:val="1"/>
          <w:iCs w:val="1"/>
          <w:color w:val="auto"/>
        </w:rPr>
        <w:t>a Warrant</w:t>
      </w:r>
      <w:r>
        <w:rPr>
          <w:rFonts w:ascii="Arial" w:cs="Arial" w:eastAsia="Arial" w:hAnsi="Arial"/>
          <w:sz w:val="18"/>
          <w:szCs w:val="18"/>
          <w:color w:val="auto"/>
        </w:rPr>
        <w:t>” above, although to the extent a cashless exercise results in a taxable exchange, the tax consequences to the non-U.S. holder</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the same as those described below in “</w:t>
      </w:r>
      <w:r>
        <w:rPr>
          <w:rFonts w:ascii="Arial" w:cs="Arial" w:eastAsia="Arial" w:hAnsi="Arial"/>
          <w:sz w:val="18"/>
          <w:szCs w:val="18"/>
          <w:i w:val="1"/>
          <w:iCs w:val="1"/>
          <w:color w:val="auto"/>
        </w:rPr>
        <w:t>Tax Consequences to Non-U.S. Holders — Gain on Sale, Exchange or Other Taxable</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 of Class A Common Stock and Warrants.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Class A Common Stock</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redemption of Warrants for Class A common stock described in this prospectus under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should be treated as a “recapitalization” within the meaning of Section 368(a)(1)(E) of the Code. Accordingly, you should not recognize any gain or loss on the redemption of Warrants for shares of our Class A common stock. Your aggregate tax basis in the shares of Class A common stock received in the redemption should equal your aggregate tax basis in your Warrants redeemed and your holding period for the shares of Class A common stock received in redemption of your Warrants should include your holding period for your surrendered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Class A common stock or Warrants or an expiration or redemption of our Warrants, unless:</w:t>
      </w:r>
    </w:p>
    <w:p>
      <w:pPr>
        <w:spacing w:after="0" w:line="184" w:lineRule="exact"/>
        <w:rPr>
          <w:sz w:val="20"/>
          <w:szCs w:val="20"/>
          <w:color w:val="auto"/>
        </w:rPr>
      </w:pPr>
    </w:p>
    <w:p>
      <w:pPr>
        <w:ind w:left="680" w:hanging="321"/>
        <w:spacing w:after="0" w:line="263"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231F20"/>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right="160" w:hanging="321"/>
        <w:spacing w:after="0" w:line="277"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231F20"/>
        </w:rPr>
        <w:t>the non-U.S. holder is an individual who is present in the United States for 183 days or more in the taxable year of disposition and certain other conditions are met; or</w:t>
      </w:r>
    </w:p>
    <w:p>
      <w:pPr>
        <w:spacing w:after="0" w:line="170" w:lineRule="exact"/>
        <w:rPr>
          <w:rFonts w:ascii="Arial" w:cs="Arial" w:eastAsia="Arial" w:hAnsi="Arial"/>
          <w:sz w:val="18"/>
          <w:szCs w:val="18"/>
          <w:color w:val="auto"/>
        </w:rPr>
      </w:pPr>
    </w:p>
    <w:p>
      <w:pPr>
        <w:ind w:left="680" w:right="20" w:hanging="321"/>
        <w:spacing w:after="0" w:line="254"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231F20"/>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 — Warrants.</w:t>
      </w:r>
      <w:r>
        <w:rPr>
          <w:rFonts w:ascii="Arial" w:cs="Arial" w:eastAsia="Arial" w:hAnsi="Arial"/>
          <w:sz w:val="17"/>
          <w:szCs w:val="17"/>
          <w:color w:val="auto"/>
        </w:rPr>
        <w:t>” An adjustment which has the effect of preventing dilution is generally not a taxable event. Nevertheless, a</w:t>
      </w:r>
      <w:r>
        <w:rPr>
          <w:rFonts w:ascii="Arial" w:cs="Arial" w:eastAsia="Arial" w:hAnsi="Arial"/>
          <w:sz w:val="17"/>
          <w:szCs w:val="17"/>
          <w:i w:val="1"/>
          <w:iCs w:val="1"/>
          <w:color w:val="auto"/>
        </w:rPr>
        <w:t xml:space="preserve"> </w:t>
      </w:r>
      <w:r>
        <w:rPr>
          <w:rFonts w:ascii="Arial" w:cs="Arial" w:eastAsia="Arial" w:hAnsi="Arial"/>
          <w:sz w:val="17"/>
          <w:szCs w:val="17"/>
          <w:color w:val="auto"/>
        </w:rPr>
        <w:t>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in the same manner as if such non-U.S. holder received a cash distribution from us equal to the fair market value of such increased interest without any corresponding receipt of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Dividends (including constructive dividends) and other payments on our Class A common stock, and the amounts withheld, if any, with respect to the payments, will generally be required to be reported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U.S. holders may be subject to backup withholding (currently at a rate of 24%) with respect to dividends (including constructive dividends) and gross proceeds from the sale, exchange or disposition of our Class A common stock and Warrants unless (1) the U.S. holder is a corporation or comes within certain other exempt categories or (2) prior to payment, the U.S. holder provides an accurate taxpayer identification number and certifies as required on a duly completed and executed IRS Form W-9 (or permitted substitute form), and otherwise complies with the requirements of the backup withholding rules.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231F20"/>
        </w:rPr>
        <w:t>Backup withholding is not an additional tax. The amount of any backup withholding from a payment to a holder will be allowed as a credit against the holder’s U.S. federal income tax liability and may entitle the holder to a refund, provided the required information is timely furnished to the IRS and all other requirements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Non-U.S. holders who have provided the applicable forms and certifications mentioned above under “</w:t>
      </w:r>
      <w:r>
        <w:rPr>
          <w:rFonts w:ascii="Arial" w:cs="Arial" w:eastAsia="Arial" w:hAnsi="Arial"/>
          <w:sz w:val="16"/>
          <w:szCs w:val="16"/>
          <w:i w:val="1"/>
          <w:iCs w:val="1"/>
          <w:color w:val="auto"/>
        </w:rPr>
        <w:t>Tax Consequences to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r>
        <w:rPr>
          <w:rFonts w:ascii="Arial" w:cs="Arial" w:eastAsia="Arial" w:hAnsi="Arial"/>
          <w:sz w:val="18"/>
          <w:szCs w:val="18"/>
          <w:color w:val="auto"/>
        </w:rPr>
        <w:t>” or who have otherwise established an exemption will generally not be subject to backup withholding.</w:t>
      </w:r>
    </w:p>
    <w:p>
      <w:pPr>
        <w:spacing w:after="0" w:line="21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Payments of the proceeds from the sale, exchange or disposition of Class A common stock or Warrants to or through a foreign office of a broker will generally not be subject to information reporting or backup withholding. However, information reporting, but not backup withholding, may apply to those payments if the broker has certain specified U.S. connections. Information reporting and backup withholding may apply to payments of the proceeds from a sale, exchange or disposition of a Warrant or Class A common stock held by a non-U.S. holder to or through the U.S. office of a broker unless the non-U.S. holder establishes an exemption from one or both. Copies of the information returns reporting interest, deemed dividends, dividends and withholding may be made available to the tax authorities in a country in which the non-U.S. holder resides under the provisions of an applicable income tax treaty.</w:t>
      </w:r>
    </w:p>
    <w:p>
      <w:pPr>
        <w:spacing w:after="0" w:line="16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holder will be allowed as a credit against the holder’s U.S. federal income tax liability and may entitle the holder to a refund, provided the required information is timely furnished to the IRS and all other requirements are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2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w:t>
      </w:r>
    </w:p>
    <w:p>
      <w:pPr>
        <w:spacing w:after="0" w:line="2" w:lineRule="exact"/>
        <w:rPr>
          <w:sz w:val="20"/>
          <w:szCs w:val="20"/>
          <w:color w:val="auto"/>
        </w:rPr>
      </w:pPr>
    </w:p>
    <w:p>
      <w:pPr>
        <w:ind w:firstLine="8"/>
        <w:spacing w:after="0" w:line="287"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w:t>
      </w:r>
      <w:r>
        <w:rPr>
          <w:rFonts w:ascii="Arial" w:cs="Arial" w:eastAsia="Arial" w:hAnsi="Arial"/>
          <w:sz w:val="16"/>
          <w:szCs w:val="16"/>
          <w:i w:val="1"/>
          <w:iCs w:val="1"/>
          <w:color w:val="auto"/>
        </w:rPr>
        <w:t>Tax Consequences to Non-U.S. Holders — Dividends and Constructive Distributions</w:t>
      </w:r>
      <w:r>
        <w:rPr>
          <w:rFonts w:ascii="Arial" w:cs="Arial" w:eastAsia="Arial" w:hAnsi="Arial"/>
          <w:sz w:val="16"/>
          <w:szCs w:val="16"/>
          <w:color w:val="auto"/>
        </w:rPr>
        <w:t>,” the withholding under FATCA may be credited against, and therefore reduce, such other withholding tax. You should consult your own tax advisors regarding these requirements and whether they may be relevant to your ownership and disposition of Class A common stock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validity of any securities offered by this prospectus will be passed upon for us by Baker &amp; Hostetler LLP.</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consolidated financial statements of Lordstown Motors Corp. (the Company) as of December 31, 2021 and 2020, and for each of the years in the two year period ended December 31, 2021, and management’s assessment of the effectiveness of internal control over financial reporting as of December 31, 2021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2021 consolidated financial statements contain an explanatory paragraph that states that the Company does not have sufficient liquidity to fund commercial scale production and the launch of sale of its electric vehicles which raises substantial doubt about the Company’s ability to continue as a going concern. The consolidated financial statements do not include any adjustments that might result from the outcome of that uncertainty. Additionally, the audit report covering the December 31, 2021 consolidated financial statements refer to a change in the method of accounting for leases as of January 1, 2021 due to the adoption of Accounting Standards Updated 2016-02, Leases (ASC Topic 842). The audit report on the effectiveness of internal control over financial reporting as of December 31, 2021, expresses an opinion that the Company did not maintain effective internal control over financial reporting as of December 31, 2021 because of the effect of a material weakness on the achievement of the objectives of the control criteria and contains an explanatory paragraph that states the Company did not have a sufficient number of trained resources with assigned responsibilities and accountability for the design and operation of internal controls over financial reporting. As a consequence, the Company did not effectively operate process-level control activities related to procure to pay (including operating expenses, prepaid expenses, and accrued liabilities), review and approval of manual journal entries, and user access controls to ensure appropriate segregation of duties.</w:t>
      </w:r>
    </w:p>
    <w:p>
      <w:pPr>
        <w:spacing w:after="0" w:line="17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financial statements as of December 31, 2019, and for the period beginning April 30, 2019 and ended December 31, 2019, appearing in this prospectus and registration statement have been audited by Clark, Schaefer, Hackett &amp; Co., an independent registered public accounting firm, as set forth in their report appearing elsewhere herein, and are included in reliance upon such report given on the authority of such firm as experts in accounting and auditing. The audit report covering the December 31, 2019 consolidated financial statements states that the Company does not have sufficient liquidity to fund commercial scale production and the launch of sale of its electric vehicles which raises substantial doubt about the Company’s ability to continue as a going concern. Such consolidated financial statements do not include any adjustments that might result from the outcome of this uncertainty.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are required to file annual, quarterly and current reports, proxy statements and other information with the SEC as required by the Exchange Act. You can read our SEC filings, including this prospectus, over the Internet at the SEC’s website at http://www.sec.gov.</w:t>
      </w:r>
    </w:p>
    <w:p>
      <w:pPr>
        <w:spacing w:after="0" w:line="1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website address is www.lordstownmotors.com.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93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60" w:type="dxa"/>
            <w:vAlign w:val="bottom"/>
            <w:gridSpan w:val="7"/>
          </w:tcPr>
          <w:p>
            <w:pPr>
              <w:jc w:val="center"/>
              <w:ind w:right="2920"/>
              <w:spacing w:after="0"/>
              <w:rPr>
                <w:sz w:val="20"/>
                <w:szCs w:val="20"/>
                <w:color w:val="auto"/>
              </w:rPr>
            </w:pPr>
            <w:r>
              <w:rPr>
                <w:rFonts w:ascii="Arial" w:cs="Arial" w:eastAsia="Arial" w:hAnsi="Arial"/>
                <w:sz w:val="18"/>
                <w:szCs w:val="18"/>
                <w:b w:val="1"/>
                <w:bCs w:val="1"/>
                <w:color w:val="auto"/>
                <w:w w:val="98"/>
              </w:rPr>
              <w:t>LORDSTOWN MOTORS CORP.</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rPr>
              <w:t>INDEX TO FINANCIAL STATEMENTS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Borders>
              <w:top w:val="single" w:sz="8" w:color="CCEEFF"/>
            </w:tcBorders>
            <w:gridSpan w:val="14"/>
            <w:shd w:val="clear" w:color="auto" w:fill="CCEEFF"/>
          </w:tcPr>
          <w:p>
            <w:pPr>
              <w:spacing w:after="0" w:line="136" w:lineRule="exact"/>
              <w:rPr>
                <w:rFonts w:ascii="Arial" w:cs="Arial" w:eastAsia="Arial" w:hAnsi="Arial"/>
                <w:sz w:val="15"/>
                <w:szCs w:val="15"/>
                <w:color w:val="0000EE"/>
              </w:rPr>
            </w:pPr>
            <w:hyperlink w:anchor="page121">
              <w:r>
                <w:rPr>
                  <w:rFonts w:ascii="Arial" w:cs="Arial" w:eastAsia="Arial" w:hAnsi="Arial"/>
                  <w:sz w:val="15"/>
                  <w:szCs w:val="15"/>
                  <w:color w:val="0000EE"/>
                </w:rPr>
                <w:t xml:space="preserve">Report of Independent Registered Public Accounting Firm </w:t>
              </w:r>
            </w:hyperlink>
            <w:r>
              <w:rPr>
                <w:rFonts w:ascii="Arial" w:cs="Arial" w:eastAsia="Arial" w:hAnsi="Arial"/>
                <w:sz w:val="15"/>
                <w:szCs w:val="15"/>
                <w:color w:val="000000"/>
              </w:rPr>
              <w:t>(PCAOB</w:t>
            </w:r>
            <w:r>
              <w:rPr>
                <w:rFonts w:ascii="Arial" w:cs="Arial" w:eastAsia="Arial" w:hAnsi="Arial"/>
                <w:sz w:val="15"/>
                <w:szCs w:val="15"/>
                <w:color w:val="0000EE"/>
              </w:rPr>
              <w:t xml:space="preserve"> </w:t>
            </w:r>
            <w:r>
              <w:rPr>
                <w:rFonts w:ascii="Arial" w:cs="Arial" w:eastAsia="Arial" w:hAnsi="Arial"/>
                <w:sz w:val="15"/>
                <w:szCs w:val="15"/>
                <w:color w:val="000000"/>
              </w:rPr>
              <w:t>ID 185*).</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80" w:type="dxa"/>
            <w:vAlign w:val="bottom"/>
            <w:gridSpan w:val="14"/>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Report of Independent Registered Public Accounting Firm .</w:t>
              </w:r>
            </w:hyperlink>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60" w:type="dxa"/>
            <w:vAlign w:val="bottom"/>
            <w:gridSpan w:val="13"/>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Consolidated Balance Sheets as of December 31, 2021 and 2020.</w:t>
              </w:r>
            </w:hyperlink>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F-8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Consolidated Statements of Operations for the years ended December 31, 2021 and 2020 and for the period from April 30,</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2019 to December 31, 2019.</w:t>
              </w:r>
            </w:hyperlink>
          </w:p>
        </w:tc>
        <w:tc>
          <w:tcPr>
            <w:tcW w:w="6780" w:type="dxa"/>
            <w:vAlign w:val="bottom"/>
            <w:tcBorders>
              <w:bottom w:val="single" w:sz="8" w:color="CCEEFF"/>
            </w:tcBorders>
            <w:gridSpan w:val="9"/>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60" w:type="dxa"/>
            <w:vAlign w:val="bottom"/>
            <w:gridSpan w:val="13"/>
          </w:tcPr>
          <w:p>
            <w:pPr>
              <w:spacing w:after="0" w:line="17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Consolidated Statements of Stockholders’ Equity for the year ended December 31, 2021 and 2020 and for the period from</w:t>
              </w:r>
            </w:hyperlink>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F-10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80" w:type="dxa"/>
            <w:vAlign w:val="bottom"/>
            <w:tcBorders>
              <w:top w:val="single" w:sz="8" w:color="0000EE"/>
            </w:tcBorders>
            <w:gridSpan w:val="10"/>
          </w:tcPr>
          <w:p>
            <w:pPr>
              <w:ind w:left="12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April 30, 2019 to December 31, 2019.</w:t>
              </w:r>
            </w:hyperlink>
          </w:p>
        </w:tc>
        <w:tc>
          <w:tcPr>
            <w:tcW w:w="1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8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Consolidated Statements of Cash Flows for the year ended December 31, 2021 and 2020 and for the period from April 30,</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2019 to December 31 2019.</w:t>
              </w:r>
            </w:hyperlink>
          </w:p>
        </w:tc>
        <w:tc>
          <w:tcPr>
            <w:tcW w:w="6820" w:type="dxa"/>
            <w:vAlign w:val="bottom"/>
            <w:tcBorders>
              <w:bottom w:val="single" w:sz="8" w:color="CCEEFF"/>
            </w:tcBorders>
            <w:gridSpan w:val="10"/>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tcBorders>
              <w:bottom w:val="single" w:sz="8" w:color="0000EE"/>
            </w:tcBorders>
            <w:gridSpan w:val="6"/>
          </w:tcPr>
          <w:p>
            <w:pPr>
              <w:spacing w:after="0" w:line="17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Notes to Consolidated Financial Statements.</w:t>
              </w:r>
            </w:hyperlink>
          </w:p>
        </w:tc>
        <w:tc>
          <w:tcPr>
            <w:tcW w:w="5760" w:type="dxa"/>
            <w:vAlign w:val="bottom"/>
            <w:gridSpan w:val="7"/>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F-12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Lordstown Motors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Lordstown Motors Corp. and subsidiaries (the Company) as of December 31, 2021 and 2020, the related consolidated statements of operations, stockholders’ equity, and cash flows for each of the years in the two-year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two-year period ended December 31, 2021, in conformity with U.S. generally accepted accounting principles.</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Internal Control </w:t>
      </w:r>
      <w:r>
        <w:rPr>
          <w:rFonts w:ascii="Arial" w:cs="Arial" w:eastAsia="Arial" w:hAnsi="Arial"/>
          <w:sz w:val="16"/>
          <w:szCs w:val="16"/>
          <w:i w:val="1"/>
          <w:iCs w:val="1"/>
          <w:color w:val="auto"/>
        </w:rPr>
        <w:t>–</w:t>
      </w:r>
      <w:r>
        <w:rPr>
          <w:rFonts w:ascii="Arial" w:cs="Arial" w:eastAsia="Arial" w:hAnsi="Arial"/>
          <w:sz w:val="16"/>
          <w:szCs w:val="16"/>
          <w:color w:val="auto"/>
        </w:rPr>
        <w:t xml:space="preserve"> Integrated Framework (2013) issued by the Committee of Sponsoring Organizations of the Treadway Commission, and our report dated February 28, 2022 expressed an adverse opinion on the effectiveness of the Company’s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does not have sufficient liquidity to fund commercial scale production and the launch of sale of its electric vehicles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discussed in Note 2 to the consolidated financial statements, the Company has changed its method of accounting for leases as of January 1, 2021 due to the adoption of Accounting Standards Update 2016-02, Leases (ASC Topic 842).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Sufficiency of audit evidence</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2021, a material weakness was identified and included in management’s assessment. The description of the material weakness states that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 As of December 31, 2020, material weaknesses were identified and included in management’s assessment. The description of the material weaknesses stated that the Company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manual journal entries).</w:t>
      </w:r>
    </w:p>
    <w:p>
      <w:pPr>
        <w:spacing w:after="0" w:line="12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identified the evaluation of the sufficiency of audit evidence as a critical audit matter. Evaluating the sufficiency of audit evidence obtained required especially subjective auditor judgment because of the pervasiveness of the material weaknesses noted above.</w:t>
      </w:r>
    </w:p>
    <w:p>
      <w:pPr>
        <w:spacing w:after="0" w:line="9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plan the nature, timing, and extent of our audit procedures to be performed over financial statement account balances. We evaluated our scoping thresholds and control risk assessments considering the material weaknesses noted above. We obtained and inspected the Company’s remediation plan to address the prior year material weaknesses that had been identified. We increased the number of sample selections compared to what we would have otherwise made if the Company’s controls were designed and operating effectively. For a selection of manual and automated journal entries, we inspected supporting documentation and evidence of authorization. We evaluated the sufficiency of audit evidence obtained by assessing the results of procedures performed, including the appropriateness of the nature and extent of such evidence.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Lordstown Motors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Lordstown Motors Corp. and subsidiaries' (the Company) internal control over financial reporting as of December 31, 2021, based on criteria established in Internal Control — Integrated Framework (2013)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2021, based on criteria established in Internal Control — Integrated Framework (2013) issued by the Committee of Sponsoring Organizations of the Treadway Commission.</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stockholders’ equity, and cash flows for each of the years in the two-year period ended December 31, 2021, and the related notes (collectively, the consolidated financial statements), and our report dated February 28, 2022 expressed an unqualified opinion on those consolidated financial statements.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have a sufficient number of trained resources with assigned responsibilities and accountability for the design and operation of internal controls over financial reporting. As a consequence, the Company did not effectively operate process-level control activities related to procure to pay (including operating expenses, prepaid expenses, and accrued liabilities), review and approval of manual journal entries, and user access controls to ensure appropriate segregation of duties. The material weakness was considered in determining the nature, timing, and extent of audit tests applied in our audit of the 2021 consolidated financial statements, and this report does not affect our report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Lordstown Motors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8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audited the accompanying balance sheet of Lordstown Motors Corp. (the Company) as of December 31, 2019, and the related statements of operations, stockholders’ equity, and cash flows for the period beginning April 30, 2019 and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beginning April, 30, 2019 and ended December 31, 2019,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18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incurred a net loss of $10,390,514 during the period beginning April 30, 2019 and ended December 31, 2019, and as of that date the Company’s current liabilities exceeded its current assets by $22,830,530. These conditions, along with other matters, raise substantial doubt about the Company’s ability to continue as a going concern. The financial statements do not include any adjustments that might result from the outcome of this uncertainty.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Clark, Schaefer, Hackett &amp; Co.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7160" w:type="dxa"/>
            <w:vAlign w:val="bottom"/>
            <w:tcBorders>
              <w:top w:val="single" w:sz="8" w:color="CCEEFF"/>
            </w:tcBorders>
            <w:shd w:val="clear" w:color="auto" w:fill="CCEEFF"/>
          </w:tcPr>
          <w:p>
            <w:pPr>
              <w:ind w:left="312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629,761</w:t>
            </w:r>
          </w:p>
        </w:tc>
      </w:tr>
      <w:tr>
        <w:trPr>
          <w:trHeight w:val="216"/>
        </w:trPr>
        <w:tc>
          <w:tcPr>
            <w:tcW w:w="71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24,663</w:t>
            </w:r>
          </w:p>
        </w:tc>
      </w:tr>
      <w:tr>
        <w:trPr>
          <w:trHeight w:val="210"/>
        </w:trPr>
        <w:tc>
          <w:tcPr>
            <w:tcW w:w="71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291,137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654,445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11,111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688,783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767,219</w:t>
            </w:r>
          </w:p>
        </w:tc>
      </w:tr>
      <w:tr>
        <w:trPr>
          <w:trHeight w:val="209"/>
        </w:trPr>
        <w:tc>
          <w:tcPr>
            <w:tcW w:w="7160" w:type="dxa"/>
            <w:vAlign w:val="bottom"/>
            <w:shd w:val="clear" w:color="auto" w:fill="CCEEFF"/>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w:t>
            </w:r>
          </w:p>
        </w:tc>
      </w:tr>
      <w:tr>
        <w:trPr>
          <w:trHeight w:val="216"/>
        </w:trPr>
        <w:tc>
          <w:tcPr>
            <w:tcW w:w="7160" w:type="dxa"/>
            <w:vAlign w:val="bottom"/>
          </w:tcPr>
          <w:p>
            <w:pPr>
              <w:ind w:left="120"/>
              <w:spacing w:after="0"/>
              <w:rPr>
                <w:sz w:val="20"/>
                <w:szCs w:val="20"/>
                <w:color w:val="auto"/>
              </w:rPr>
            </w:pPr>
            <w:r>
              <w:rPr>
                <w:rFonts w:ascii="Arial" w:cs="Arial" w:eastAsia="Arial" w:hAnsi="Arial"/>
                <w:sz w:val="18"/>
                <w:szCs w:val="18"/>
                <w:color w:val="auto"/>
              </w:rPr>
              <w:t>Accrued and other current liabilities</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16"/>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price down payment from Foxconn</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147,605</w:t>
            </w:r>
          </w:p>
        </w:tc>
        <w:tc>
          <w:tcPr>
            <w:tcW w:w="100" w:type="dxa"/>
            <w:vAlign w:val="bottom"/>
          </w:tcPr>
          <w:p>
            <w:pPr>
              <w:spacing w:after="0"/>
              <w:rPr>
                <w:sz w:val="18"/>
                <w:szCs w:val="18"/>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34,074</w:t>
            </w: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 and other non-current liabilities</w:t>
            </w: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101,392</w:t>
            </w:r>
          </w:p>
        </w:tc>
      </w:tr>
      <w:tr>
        <w:trPr>
          <w:trHeight w:val="20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136,481</w:t>
            </w: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2"/>
        </w:trPr>
        <w:tc>
          <w:tcPr>
            <w:tcW w:w="71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Class A common stock, $0.0001 par value, 300,000,000 shares authorized; 196,391,349 and</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168,007,960 shares issued and outstanding as of December 31, 2021 and</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2020,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16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1,084,390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765,162</w:t>
            </w:r>
          </w:p>
        </w:tc>
      </w:tr>
      <w:tr>
        <w:trPr>
          <w:trHeight w:val="216"/>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(134,441)</w:t>
            </w:r>
          </w:p>
        </w:tc>
      </w:tr>
      <w:tr>
        <w:trPr>
          <w:trHeight w:val="210"/>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630,738</w:t>
            </w:r>
          </w:p>
        </w:tc>
      </w:tr>
      <w:tr>
        <w:trPr>
          <w:trHeight w:val="210"/>
        </w:trPr>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767,219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5"/>
              </w:rPr>
              <w:t>from April 30, 2019</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00" w:type="dxa"/>
            <w:vAlign w:val="bottom"/>
            <w:gridSpan w:val="3"/>
          </w:tcPr>
          <w:p>
            <w:pPr>
              <w:ind w:left="840"/>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 December 31, 2019</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400,489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(expense) income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(expense)</w:t>
            </w: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before income taxes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loss</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(410,368)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Loss per share attributable to common shareholders</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&amp; Diluted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&amp; Diluted</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180,722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94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Inception at April 30,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8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68,279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18,605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compensation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(10,391)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8,652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issued for conversion of notes payable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Common stock issued for exercise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2,669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53,724</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Common stock issued in recapitalization, net of redemptions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transaction costs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644,581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644,589</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(124,050)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(124,050)</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168,008</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765,162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(134,441)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630,738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Common stock issued for exercise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7,984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194,798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issued for YA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Common stock issued for Foxconn</w:t>
            </w:r>
          </w:p>
        </w:tc>
        <w:tc>
          <w:tcPr>
            <w:tcW w:w="940" w:type="dxa"/>
            <w:vAlign w:val="bottom"/>
          </w:tcPr>
          <w:p>
            <w:pPr>
              <w:jc w:val="right"/>
              <w:spacing w:after="0"/>
              <w:rPr>
                <w:sz w:val="20"/>
                <w:szCs w:val="20"/>
                <w:color w:val="auto"/>
              </w:rPr>
            </w:pPr>
            <w:r>
              <w:rPr>
                <w:rFonts w:ascii="Arial" w:cs="Arial" w:eastAsia="Arial" w:hAnsi="Arial"/>
                <w:sz w:val="18"/>
                <w:szCs w:val="18"/>
                <w:color w:val="auto"/>
              </w:rPr>
              <w:t>7,248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compensation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(410,368)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(410,368)</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1,084,390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(544,809)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activity and balances related to common stock and additional paid-in capital prior to the business combination have been restated based on the Exchange Ratio in the Merger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Year ended</w:t>
            </w:r>
          </w:p>
        </w:tc>
        <w:tc>
          <w:tcPr>
            <w:tcW w:w="6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April 30,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to 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(410,368)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(124,050)</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cash used by operating activities: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change in fair value related to warrants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Forgiveness of note payable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Gain on disposal of fixed assets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Accounts receivables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(17,008)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Cash used by operating activities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(99,596)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capital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(284,514)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(52,645)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Purchase of intangible assets</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sale of capital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Cash used by investing activities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(50,249)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Down payment received from Foxconn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Cash proceeds from exercise of warrants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Equity Purchase Agreement, net of issuance costs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Cash received in recapitalization, net of transaction costs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701,520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received from Foxconn Subscription Agreement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notes payable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Cash provided by financing activities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balance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ending balance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629,761</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Non-cash items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Conversion of notes payable to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38,725</w:t>
            </w:r>
          </w:p>
        </w:tc>
        <w:tc>
          <w:tcPr>
            <w:tcW w:w="80" w:type="dxa"/>
            <w:vAlign w:val="bottom"/>
          </w:tcPr>
          <w:p>
            <w:pPr>
              <w:spacing w:after="0"/>
              <w:rPr>
                <w:sz w:val="22"/>
                <w:szCs w:val="22"/>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Capital assets acquired with payables</w:t>
            </w: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320"/>
              <w:spacing w:after="0"/>
              <w:rPr>
                <w:sz w:val="20"/>
                <w:szCs w:val="20"/>
                <w:color w:val="auto"/>
              </w:rPr>
            </w:pPr>
            <w:r>
              <w:rPr>
                <w:rFonts w:ascii="Arial" w:cs="Arial" w:eastAsia="Arial" w:hAnsi="Arial"/>
                <w:sz w:val="18"/>
                <w:szCs w:val="18"/>
                <w:color w:val="auto"/>
              </w:rPr>
              <w:t>Capital assets exchanged for equity</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23,200</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Common stock issued in exchange for intangible assets</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Lordstown Motors Corp., a Delaware corporation (“Lordstown”, the “Company” or “we”), is an electric vehicle innovator developing high-quality light duty commercial fleet vehicles, with the Endurance all electric pick-up truck as its first vehicle being launched in the Lordstown, Ohio facility. The Company is in its final design and testing phase related to our production of the Endurance and has yet to bring a completed product to market.</w:t>
      </w:r>
    </w:p>
    <w:p>
      <w:pPr>
        <w:spacing w:after="0" w:line="187"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color w:val="auto"/>
        </w:rPr>
        <w:t>On September 30, 2021, the Company entered into a subscription agreement pursuant to which the Company agreed to issue and sell, and Foxconn agreed to purchase, 7.2 million shares of the Company’s Class A common stock (the “Subscription Agreement”) for $6.8983 per share in cash based on the simple average of the volume weighted average price for the 15 days immediately preceding the date of the subscription agreement, or approximately $50.0 million in total consideration. The stock issuance and corresponding receipt of approximately $50.0 million occurred in October 2021.</w:t>
      </w:r>
    </w:p>
    <w:p>
      <w:pPr>
        <w:spacing w:after="0" w:line="18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On November 10, 2021, we entered into the Asset Purchase Agreement with Foxconn Ohio. Pursuant to the APA, Foxconn Ohio would purchase the Lordstown facility for $230 million and a reimbursement payment for certain operating and expansion costs incurred by us from September 1, 2021 through the closing. We would continue to own our hub motor assembly line, as well as our battery module and packing line assets, certain intellectual property rights and other excluded assets. We expect to outsource all of the manufacturing of the Endurance to Foxconn with the sale of our Lordstown facility; Foxconn would also operate the assets we continue to own in the facility after closing. Foxconn Ohio has made down payments of the purchase price of $100 million on November 18, 2021 and $50 million on January 28, 2022. Foxconn Ohio is required to make an additional down payment of $50 million no later than April 15, 2022, subject to certain conditions. If the APA is terminated or if the transaction does not close prior to the later of (i) April 30, 2022 and (ii) 10 days after the transaction is cleared by CFIUS, we are obligated to repay the down payments to Foxconn. We have granted Foxconn a first priority security interest in substantially all of our assets to secure the repayment obligation. The APA is subject to several conditions and has not been consummated as of the date of the filing of this report.</w:t>
      </w:r>
    </w:p>
    <w:p>
      <w:pPr>
        <w:spacing w:after="0" w:line="17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The closing of the transactions contemplated by the Asset Purchase Agreement are subject to certain conditions, including, but not limited to: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and</w:t>
      </w:r>
    </w:p>
    <w:p>
      <w:pPr>
        <w:spacing w:after="0" w:line="1" w:lineRule="exact"/>
        <w:rPr>
          <w:sz w:val="20"/>
          <w:szCs w:val="20"/>
          <w:color w:val="auto"/>
        </w:rPr>
      </w:pPr>
    </w:p>
    <w:p>
      <w:pPr>
        <w:ind w:right="80" w:firstLine="8"/>
        <w:spacing w:after="0" w:line="253"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a communication that the U.S. government’s Committee on Foreign Investment in the United States (“CFIUS”) has completed its review of the transaction and determined there are no national security concerns with the transaction. We are required to maintain minimum cash balances of $50 million through March 1, 2022 and $30 million thereafter. The Company will issue warrants to Foxconn that are exercisable until the third anniversary of the closing for 1.7 million shares of Class A common stock at an exercise price of $10.50 per share.</w:t>
      </w:r>
    </w:p>
    <w:p>
      <w:pPr>
        <w:spacing w:after="0" w:line="19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and Foxconn have made significant progress negotiating the Contract Manufacturing Agreement and Lordstown Facility Lease, as well as supporting the review of the Foxconn Transactions by CFIUS. The parties have mutually agreed they no longer believe an operating agreement pursuant to which Lordstown would provide support to Foxconn, between signing and closing of the APA, for non-Endurance-specific investments was necessary.</w:t>
      </w:r>
    </w:p>
    <w:p>
      <w:pPr>
        <w:spacing w:after="0" w:line="18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APA includes a commitment by Foxconn and the Company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The APA also includes a commitment by Foxconn and the Company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In the place of a joint venture and licensing agreement, the parties agreed to explore a joint product development agreement. We are actively discussing the establishment of such an agreement with Foxconn, under which we would seek to use the MIH platform to develop a portfolio of electric vehicles targeting our commercial fleet customers, built at the Lordstown, Ohio plant and to license to Foxconn certain of our intellectual property. If an</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agreement is reached, we anticipate that Foxconn would also supply certain vehicle components and subsystems for newly developed vehicles, enabling us to leverage Foxconn’s manufacturing experience, supply-chain network and extensive experience in software development and integration (key capabilities in the production of EVs) to complement our EV design, development, engineering and homologation contributions.</w:t>
      </w:r>
    </w:p>
    <w:p>
      <w:pPr>
        <w:spacing w:after="0" w:line="18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believe that any joint product development agreement with Foxconn would also need to incorporate an appropriate funding structure that enables us to raise the additional capital necessary to bring the Endurance into production as well as fund new vehicle development. We continue to explore all financing alternatives as we will need substantial funding to execute our operating plan that is anticipated to use significant capital for the foreseeable future.</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 assurance can be made that the transactions contemplated by the Asset Purchase Agreement, including the Contract Manufacturing Agreement and the Lordstown Facility Lease (collectively, the “Foxconn Transactions”), or a joint product development agreement, any additional funding arrangements or other agreements will ultimately be consummated on the terms contemplated, or at all, or that they will provide the anticipated benefits. Even if the Foxconn Transactions are consummated in accordance with the current terms and on the anticipated timeline, we will need additional funding to continue our development efforts and maintain our current plans and timeline for commercial production.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also reclassified the presentation of certain prior-year amounts to conform to the current presentation.</w:t>
      </w:r>
    </w:p>
    <w:p>
      <w:pPr>
        <w:spacing w:after="0" w:line="23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17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 (A) the exercise price per share of Legacy LMC Common Stock of such Legacy LMC Option immediately prior to the Effective Time divided by (B) the Exchange Ratio.</w:t>
      </w:r>
    </w:p>
    <w:p>
      <w:pPr>
        <w:spacing w:after="0" w:line="18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14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connection with the Closing, the Company (a) issued and sold an aggregate of 50 million shares of Class A common stock for $10.00 per share at an aggregate purchase price of $500 million pursuant to previously announced subscription agreements with certain investors (the “PIPE Investors”), (b) issued an aggregate of approximately 4 million shares of Class A common stock to holders of $40 million in aggregate principal amount plus accrued interest, of Legacy LMC convertible promissory notes at 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conversion price of $10.00 per share upon automatic conversion of such notes (the “Note Conversions”), and (c) issued warrants to purchase 1.6 million shares of Class A common stock (“BGL Warrants”) a purchase price of $10.00 per share to a third party. Additionally, the Company assumed 9.3 million Public Warrants (as defined below) and 5.1 million Private Warrants (as defined below) both of which were originally issued by DiamondPeak with an exercise price of $11.50. In December 2020, 2.7 million of the Public Warrants were exercised which resulted in $30.7 million in proceeds. In January 2021, a significant portion of the remaining Public Warrants and 0.6 million of the Private Warrants were exercised upon payment of the cash exercise price, which resulted in cash proceeds of $82.0 million. As of December 31, 2021, there were 2.3 million Private Warrants, 1.6 million BGL Warrants and no Public Warrants outstanding. See further discussion related to the accounting of the Public Warrants and Private Warrants in Note 3.</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 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part of the Business Combination, we recorded $644.6 million in equity for the recapitalization, net of transaction costs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$100.9 million in liabilities related to the Public and Private Warrants described in Note 3. The Company received cash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$701.5 million as a result of the Business Combination which was net of the settlement of the $20.8 million related party note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$23.2 million in property purchased through equity both as described in Note 10. Additionally, a $5 million Convertible Note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$5.9 million amount in Due to related party as described in Note 10 were also settled in conjunction with the Business Combination.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had cash and cash equivalents of approximately $244.0 million and an accumulated deficit of $544.8 million at December 31, 2021 and a net loss of $410.4 million for the year ended December 31, 2021. Since inception, the Company has been developing its flagship vehicle, the Endurance, an electric full-size pickup truck. The Company’s ability to continue as a going concern is dependent on its ability to complete the Foxconn Transactions, raise substantial additional capital, complete the development of the Endurance, obtain regulatory approval, begin commercial scale production and launch the sale of the Endurance. The Company believes that its current level of cash and cash equivalents are not sufficient to fund commercial scale production and the launch of sale of such vehicles. These conditions raise substantial doubt regarding the Company’s ability to continue as a going concern for a period of at least one year from the date of issuance of these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Company’s business plan contemplates that it will build a limited number of pre-production vehicles in the first half of 2022 for testing, certifications and to demonstrate the capabilities of the Endurance to potential customers. The Company expects commercial production and sales to begin in the third quarter of 2022. While conducting these activities, and for the foreseeable future, the Company will incur significant operating expenses, capital expenditures and working capital funding that will deplete its cash on hand. Absent any material delays, the Company anticipates that it has sufficient funds to close the Foxconn Transactions and receive the proceeds as contemplated by the Asset Purchase Agreement. However, the Company will be required to raise additional capital in order to execute its business plan well in advance of reaching commercial production of the Endurance. The proceeds contemplated in the Asset Purchase Agreement will not be sufficient for these purposes. In addition, the closing of the APA remains subject to certain conditions, and if the transaction does not close, the Company will be required to repay the down payments made by Foxconn and it is unlikely the Company will have funding available to do so.</w:t>
      </w:r>
    </w:p>
    <w:p>
      <w:pPr>
        <w:spacing w:after="0" w:line="185"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In 2021, the Company’s research and development expenses and capital expenditures increased significantly over 2020 levels to build capacity and invest in the development of the Endurance. The costs are significant due to spending needed for prototype components, vehicle validation tests, securing necessary parts/equipment, and utilizing in-house and third-party engineering services. Increased spending was also due in part to the stress that the COVID-19 pandemic put on the global automotive supply chain and a strategic decision to bring development of certain components, such as the frame of the Endurance, in-house. The Company expects continued supply chain constraints and pricing pressure that may negatively impact its cost structure and production timeline.</w:t>
      </w:r>
    </w:p>
    <w:p>
      <w:pPr>
        <w:spacing w:after="0" w:line="1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through arrangements with strategic partners or through obtaining financing from government or financial institutions. </w:t>
      </w:r>
      <w:r>
        <w:rPr>
          <w:rFonts w:ascii="Arial" w:cs="Arial" w:eastAsia="Arial" w:hAnsi="Arial"/>
          <w:sz w:val="18"/>
          <w:szCs w:val="18"/>
          <w:color w:val="010101"/>
        </w:rPr>
        <w:t>The Company has engaged a financial advisor to advise the Company on additional financing</w:t>
      </w:r>
      <w:r>
        <w:rPr>
          <w:rFonts w:ascii="Arial" w:cs="Arial" w:eastAsia="Arial" w:hAnsi="Arial"/>
          <w:sz w:val="18"/>
          <w:szCs w:val="18"/>
          <w:color w:val="auto"/>
        </w:rPr>
        <w:t xml:space="preserve"> </w:t>
      </w:r>
      <w:r>
        <w:rPr>
          <w:rFonts w:ascii="Arial" w:cs="Arial" w:eastAsia="Arial" w:hAnsi="Arial"/>
          <w:sz w:val="18"/>
          <w:szCs w:val="18"/>
          <w:color w:val="010101"/>
        </w:rPr>
        <w:t>alternatives</w:t>
      </w:r>
      <w:r>
        <w:rPr>
          <w:rFonts w:ascii="Arial" w:cs="Arial" w:eastAsia="Arial" w:hAnsi="Arial"/>
          <w:sz w:val="18"/>
          <w:szCs w:val="18"/>
          <w:color w:val="000000"/>
        </w:rPr>
        <w:t>.</w:t>
      </w:r>
    </w:p>
    <w:p>
      <w:pPr>
        <w:spacing w:after="0" w:line="18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As further described in Note 7, on July 23, 2021, the Company entered into the “Equity Purchase Agreement with YA II PN, LTD. (“YA”), pursuant to which YA has committed to purchase up to $400 million of its Class A common stock, at the Company’s direction from time to time, subject to the satisfaction of certain conditions. During the year ended December 31, 2021, the Company’s issued 9.6 million shares to YA and received $49.4 million, net of equity issuance costs. The actual amount that the Company raises under this agreement will depend on market conditions and other financing alternatives that the Company is exploring, as well as limitations in the agreement. In particular, at current market prices of its shares of Class A common stock, without stockholder approval, the Exchange Cap provision would limit the amount of shares the Company can issue up to 35.1 million shares, and therefore limit funds the Company is able to raise to significantly less than the $400 million commitment under the Equity Purchase Agreement. As of December 31, 2021, the Company was in compliance with the terms and conditions of the Equity Purchase Agreement and the remaining availability under the Equity Purchase Agreement was $350 million which is subject to certain limitations as described above.</w:t>
      </w:r>
    </w:p>
    <w:p>
      <w:pPr>
        <w:spacing w:after="0" w:line="16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On November 10, 2021, the Company entered into the APA with Foxconn, pursuant to which Foxconn would purchase the Lordstown facility for $230 million and a reimbursement payment for certain operating and expansion costs incurred by the Company from September 1, 2021 through the closing. The Company would continue to own its hub motor assembly line, as well as its battery module and packing line assets, certain intellectual property rights and other excluded assets. Foxconn has made down payments of the purchase price of $100 million in November 2021 and $50 million in January 2022. Foxconn is required to make an additional down payment of $50 million no later than April 15, 2022, subject to certain conditions. The balance of the purchase price, along with reimbursement of certain operating and expansion costs would be paid at closing. The Company is required to maintain minimum cash balances of $50 million through March 1, 2022 and $30 million thereafter.</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the APA is terminated or if the transaction does not close prior to the later of (i) April 30, 2022 and (ii) 10 days after the transaction is cleared by CFIUS, the Company is obligated to repay the down payments to Foxconn. The Company has granted Foxconn a first priority security interest in substantially all of its assets to secure the repayment obligation. The APA is subject to several conditions and has not been consummated as of the date of the filing of this report. No assurance can be made that it will ultimately be consummated on the terms contemplated, or at all.</w:t>
      </w:r>
    </w:p>
    <w:p>
      <w:pPr>
        <w:spacing w:after="0" w:line="188"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The Company is also exploring other potential agreements with Foxconn that would establish a joint product development agreement for future MIH-based vehicles and an appropriate funding structure. No</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assurance can be made that the joint product development agreement, an appropriate funding structure or other potential agreements would ultimately be entered or consummated on the terms contemplated, or at all.</w:t>
      </w:r>
    </w:p>
    <w:p>
      <w:pPr>
        <w:spacing w:after="0" w:line="170" w:lineRule="exact"/>
        <w:rPr>
          <w:sz w:val="20"/>
          <w:szCs w:val="20"/>
          <w:color w:val="auto"/>
        </w:rPr>
      </w:pPr>
    </w:p>
    <w:p>
      <w:pPr>
        <w:jc w:val="both"/>
        <w:ind w:right="600" w:firstLine="324"/>
        <w:spacing w:after="0" w:line="342" w:lineRule="auto"/>
        <w:rPr>
          <w:sz w:val="20"/>
          <w:szCs w:val="20"/>
          <w:color w:val="auto"/>
        </w:rPr>
      </w:pPr>
      <w:r>
        <w:rPr>
          <w:rFonts w:ascii="Arial" w:cs="Arial" w:eastAsia="Arial" w:hAnsi="Arial"/>
          <w:sz w:val="16"/>
          <w:szCs w:val="16"/>
          <w:color w:val="auto"/>
        </w:rPr>
        <w:t>Even if the Foxconn Transactions are consummated in accordance with the current terms and on the anticipated timeline, the Company will need additional funding to continue its development efforts and maintain current plans for its production timeline.</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As the Company seeks additional sources of financing, there can be no assurance that such financing would be available to it on favorable terms or at all. The Company’s ability to obtain additional financing in the debt and equity capital markets is subject to several factors, including market and economic conditions, the significant amount of capital required, the fact that its bill of materials cost is currently, and expected to continue to be, substantially higher than the anticipated selling price of the Endurance, uncertainty surrounding regulatory approval and the performance of the vehicle, meaningful exposure to material losses related to ongoing litigation, its performance and investor sentiment with respect to the Company and its business and industry, as well as its pending transaction with Foxconn. As a result of these uncertainties, and notwithstanding management’s plans and efforts to date, there continues to be substantial doubt about the Company’s ability to continue as a going concern. </w:t>
      </w:r>
      <w:r>
        <w:rPr>
          <w:rFonts w:ascii="Arial" w:cs="Arial" w:eastAsia="Arial" w:hAnsi="Arial"/>
          <w:sz w:val="16"/>
          <w:szCs w:val="16"/>
          <w:color w:val="231F20"/>
        </w:rPr>
        <w:t>If the Company is unable to raise substantial additional capital in the</w:t>
      </w:r>
      <w:r>
        <w:rPr>
          <w:rFonts w:ascii="Arial" w:cs="Arial" w:eastAsia="Arial" w:hAnsi="Arial"/>
          <w:sz w:val="16"/>
          <w:szCs w:val="16"/>
          <w:color w:val="auto"/>
        </w:rPr>
        <w:t xml:space="preserve"> </w:t>
      </w:r>
      <w:r>
        <w:rPr>
          <w:rFonts w:ascii="Arial" w:cs="Arial" w:eastAsia="Arial" w:hAnsi="Arial"/>
          <w:sz w:val="16"/>
          <w:szCs w:val="16"/>
          <w:color w:val="231F20"/>
        </w:rPr>
        <w:t xml:space="preserve">near term, its operations and production plans will be scaled back or curtailed and, if any funds raised are insufficient to provide a bridge to full commercial production, its operations could be severely curtailed or cease entirely. </w:t>
      </w:r>
      <w:r>
        <w:rPr>
          <w:rFonts w:ascii="Arial" w:cs="Arial" w:eastAsia="Arial" w:hAnsi="Arial"/>
          <w:sz w:val="16"/>
          <w:szCs w:val="16"/>
          <w:color w:val="000000"/>
        </w:rPr>
        <w:t>The Company will be materially adversely</w:t>
      </w:r>
      <w:r>
        <w:rPr>
          <w:rFonts w:ascii="Arial" w:cs="Arial" w:eastAsia="Arial" w:hAnsi="Arial"/>
          <w:sz w:val="16"/>
          <w:szCs w:val="16"/>
          <w:color w:val="231F20"/>
        </w:rPr>
        <w:t xml:space="preserve"> </w:t>
      </w:r>
      <w:r>
        <w:rPr>
          <w:rFonts w:ascii="Arial" w:cs="Arial" w:eastAsia="Arial" w:hAnsi="Arial"/>
          <w:sz w:val="16"/>
          <w:szCs w:val="16"/>
          <w:color w:val="000000"/>
        </w:rPr>
        <w:t>affected if the Foxconn Transactions do not close. If the APA does not close, including because the Company is unable to fulfill its obligations to maintain its minimum cash balance commitments under the APA, the Company is unlikely to have sufficient available cash to repay Foxconn’s down payments. As a result, Foxconn may exercise its rights under the APA, including, but not limited to foreclosing on its liens on some or substantially all of the Company’s assets. Under such circumstances, the Company would not likely be able to continue as a going concern or realize any value from its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Immaterial Correction of Error</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Company’s previously issued financial statements have been revised to reclassify certain expenses that were inappropriately presented within the consolidated statement of operations. This resulted in the reclassification of $2.7 million of research and development expenses to selling and administrative expenses for the year ended December 31, 2020. The error did not impact net loss.</w:t>
      </w:r>
    </w:p>
    <w:p>
      <w:pPr>
        <w:spacing w:after="0" w:line="149" w:lineRule="exact"/>
        <w:rPr>
          <w:sz w:val="20"/>
          <w:szCs w:val="20"/>
          <w:color w:val="auto"/>
        </w:rPr>
      </w:pPr>
    </w:p>
    <w:p>
      <w:pPr>
        <w:jc w:val="both"/>
        <w:ind w:right="40" w:firstLine="324"/>
        <w:spacing w:after="0" w:line="296" w:lineRule="auto"/>
        <w:rPr>
          <w:sz w:val="20"/>
          <w:szCs w:val="20"/>
          <w:color w:val="auto"/>
        </w:rPr>
      </w:pPr>
      <w:r>
        <w:rPr>
          <w:rFonts w:ascii="Arial" w:cs="Arial" w:eastAsia="Arial" w:hAnsi="Arial"/>
          <w:sz w:val="16"/>
          <w:szCs w:val="16"/>
          <w:color w:val="auto"/>
        </w:rPr>
        <w:t xml:space="preserve">The Company, in consultation with the Audit Committee of the Board of Directors, evaluated the effect of these adjustments on the Company’s consolidated financial statements under ASC 250, </w:t>
      </w:r>
      <w:r>
        <w:rPr>
          <w:rFonts w:ascii="Arial" w:cs="Arial" w:eastAsia="Arial" w:hAnsi="Arial"/>
          <w:sz w:val="16"/>
          <w:szCs w:val="16"/>
          <w:i w:val="1"/>
          <w:iCs w:val="1"/>
          <w:color w:val="auto"/>
        </w:rPr>
        <w:t>Accounting Changes and Error Corrections and Staff Accounting Bulletin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108, Considering the Effects of Prior Year Misstatements when Quantifying Misstatements in Current Year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it was not necessary to recall its consolidated financial statements as the errors did not materially misstate those consolidated financial statements. The Company looked at both quantitative and qualitative characteristics of the required corrections.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preparation of financial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84"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184"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188"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the Company has elected to account for forfeitures as they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60" w:firstLine="324"/>
        <w:spacing w:after="0" w:line="296" w:lineRule="auto"/>
        <w:rPr>
          <w:sz w:val="20"/>
          <w:szCs w:val="20"/>
          <w:color w:val="auto"/>
        </w:rPr>
      </w:pPr>
      <w:r>
        <w:rPr>
          <w:rFonts w:ascii="Arial" w:cs="Arial" w:eastAsia="Arial" w:hAnsi="Arial"/>
          <w:sz w:val="16"/>
          <w:szCs w:val="16"/>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 xml:space="preserve">In June 2018, the Financial Accounting Standards Board (“FASB”) issued ASU 2018-07,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718): Improvements to Nonemployee Share-Based Payment Accounting. </w:t>
      </w:r>
      <w:r>
        <w:rPr>
          <w:rFonts w:ascii="Arial" w:cs="Arial" w:eastAsia="Arial" w:hAnsi="Arial"/>
          <w:sz w:val="16"/>
          <w:szCs w:val="16"/>
          <w:color w:val="auto"/>
        </w:rPr>
        <w:t>ASU 2018-07 extends the scope of Topic 718 to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for acquiring goods and services from nonemployees. ASU 2018-07 amendments were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6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February 2016, the FASB issued ASU 2016-02, Leases, and has subsequently issued several supplemental and/or clarifying ASUs (collectively “ASC Topic 842”) to increase transparency and comparability among organizations by recognizing lease assets and lease liabilities on the balance sheet and disclosing key information about leasing arrangements. The Company adopted ASC 842 effective January 1, 2021 using the alternative transition method and elected to apply the new guidance at the adoption date without adjusting comparative periods presented. Comparative information has not been restated and will continue to be reported under accounting standards in effect for those periods. In adopting the new guidance, the Company elected to apply the package of transition practical expedients, which allows the Company not to reassess: (1) whether any expired or existing contracts contain leases under the new definition of a lease; (2) lease classification for any expired or existing leases; and (3) whether previously capitalized initial direct costs would qualify for capitalization under ASC 842. In addition, the Company has elected to apply the practical expedient to combine lease and related non-lease components, for all classes of underlying assets, and accounts for the combined contract as a lease component, as well as the election was made to apply the short-term lease recognition exemption. In transition, the Company did not elect to apply the hindsight practical expedient, which permits entities to use hindsight in determining the lease term and assessing impairment of right-of-use assets.</w:t>
      </w:r>
    </w:p>
    <w:p>
      <w:pPr>
        <w:spacing w:after="0" w:line="18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Company has leases which primarily consist of our Farmington Hills, Michigan and Irvine, California locations. The adoption of ASC 842 resulted in the recognition of a new right-of-use assets and lease liabilities on the balance sheet for all operating leases. As a result of the Company’s adoption on January 1, 2021, the Company recorded operating right-of-use assets and lease liabilities of $3.3 million. As of December 31, 2021, the Company had a right-of use asset and liability totaling $2.2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has the following warrants: (i) warrants (the “Public Warrants”) to purchase shares of Class A common stock, originally issued in our initial public offering (“Initial Public Offering”), (ii) warrants (the “Private Placement Warrants” and together with the Public Warrants and the BGL Warrants, the “Warrants”) to purchase Class A common stock issued in a private placement to our sponsor and anchor investor at the time of the Initial Public Offering, and (iii) the BGL Warrants. The rights of holders of the Warrants are governed by warrant agreements between American Stock Transfer &amp; Trust Company, as warrant agent, and the Company (the “Warrant Agreements”). The BGL Warrants are classified as equity as they qualify as share-based compensation under ASC Topic 718.</w:t>
      </w:r>
    </w:p>
    <w:p>
      <w:pPr>
        <w:spacing w:after="0" w:line="164"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Public and Private Warrants were recorded in the Company’s consolidated financial statements as a result of the Business Combination between DiamondPeak and Lordstown EV Corporation (formerly known as Lordstown Motors Corp.) and the reverse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recapitalization that occurred on October 23, 2020 and did not impact any reporting periods prior to the Business Combination. The Company determined that the fair value of the Public and Private Warrants was $100.9 million as of the date of the Business Combination. The Public and Private Warrants are classified as a liability with any changes in the fair value recognized immediately in our consolidated statements of operations. During the quarter ended March 31, 2021, we received cash proceeds of approximately $82.0 million for the redemption of the remaining Public Warrants.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net gain (loss) on changes in fair value (in thousands) related to the Public and Private Warrants: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417"/>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December 31, 2021</w:t>
            </w: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(17,920)</w:t>
            </w: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Private Warrants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 on changes in fair value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and 2020, we had 3.9 million and 13.4 million Warrants outstanding, respectively.</w:t>
      </w:r>
    </w:p>
    <w:p>
      <w:pPr>
        <w:spacing w:after="0" w:line="225"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16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72"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At each measurement date, we use a stock price volatility input of 50% for the Monte Carlo model.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0.458%, 0.413%, and 1.123% for the valuations as of October 23, 2020 and December 31, 2020 and 2021,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 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Prices with</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3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244,016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Private Warrants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354"/>
        </w:trPr>
        <w:tc>
          <w:tcPr>
            <w:tcW w:w="3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 in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Prices with</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3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629,761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629,761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Private Warrants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43,877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43,877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Loss / (Gain) on fair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Settlements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adjustments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96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included in earnings</w:t>
            </w:r>
          </w:p>
        </w:tc>
        <w:tc>
          <w:tcPr>
            <w:tcW w:w="1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Private Warrants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43,877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(28,085)</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486"/>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7"/>
          </w:tcPr>
          <w:p>
            <w:pPr>
              <w:ind w:left="340"/>
              <w:spacing w:after="0"/>
              <w:rPr>
                <w:sz w:val="20"/>
                <w:szCs w:val="20"/>
                <w:color w:val="auto"/>
              </w:rPr>
            </w:pPr>
            <w:r>
              <w:rPr>
                <w:rFonts w:ascii="Arial" w:cs="Arial" w:eastAsia="Arial" w:hAnsi="Arial"/>
                <w:sz w:val="18"/>
                <w:szCs w:val="18"/>
                <w:color w:val="auto"/>
                <w:w w:val="92"/>
              </w:rPr>
              <w:t>Property, plant and equipment, net, consisted of the following:</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Property, Plant &amp; Equipment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326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0"/>
              </w:rPr>
              <w:t>38,608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38,443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337,124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56,529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382,746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101,663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5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w w:val="95"/>
              </w:rPr>
              <w:t>Less: Accumulated depreciation</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382,746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101,663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Construction in progress includes retooling and construction at the Company's facility in Lordstown, Ohio and tooling held at various supplier locations. The Company is currently finalizing its production process, bringing acquired assets up to the level needed for commercial production and evaluating assets that will be necessary in the commercial production of the Endurance pickup truck. Completed assets will be transferred to their respective asset classes and depreciation will begin when an asset is ready for its intended use. As of December 31, 2021, commercial scale manufacturing has not begun and thus no depreciation was recognized in 2021, 2020 or 2019.</w:t>
      </w:r>
    </w:p>
    <w:p>
      <w:pPr>
        <w:spacing w:after="0" w:line="19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Property, plant and equipment also includes the manufacturing plant in Lordstown, Ohio which was purchased from GM in November 2019 for $20.0 million, recorded as a related party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As of the date of the Business Combination, our related party note payable for the plant and interest totaled $20.8 million and was settled as part of the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10. During the quarter ended June 30, 2020, the Company sold equipment which it determined was not necessary for production which resulted in a gain on sale of the asset for $2.3 million.</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Class A common stock as part of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 PAYABLE</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 April 17, 2020, Lordstown entered into a Promissory Note with The Huntington National Bank, which provides for a loan in the amount of $1 million (the “PPP Loan”) pursuant to the Paycheck Protection Program under the Coronavirus Aid, Relief, and Economic Security Act (the “CARES Act”). The PPP Loan had a two-year term and bears interest at a rate of 1.0% per annum. The Paycheck Protection Program provides that the PPP Loan may be partially or wholly forgiven if the funds are used for certain qualifying expenses as described in the CARES Act. During the quarter ended June 30, 2021, our $1.0 million loan was forgiven.</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quarter ended September 30, 2020, the Company entered into “Placement Agency Agreements” with Maxim Group, LLC (“Maxim”) and existing shareholders. Pursuant to the terms of the Placement Agency Agreements, the Company issued “Convertible Promissory Notes” to a series of investors for proceeds worth $37.8 million net of transaction costs. In connection with the Closing described in Note 1, the Company issued an aggregate of approximately 4 million shares of Class A Common Stock in exchange for the Convertible Promissory Notes which we reflected as a noncash transaction on the statement of cash flow.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Legacy LMC’s 2019 Stock Option Plan (the “2019 Plan”) provides for the grant of incentive stock options (“ISO”) or non-qualified stock options (“NQSO) to purchase Legacy LMC common stock to officers, employees, directors, and consultants of Legacy LMC.</w:t>
      </w:r>
    </w:p>
    <w:p>
      <w:pPr>
        <w:spacing w:after="0" w:line="12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Each Legacy LMC option from the 2019 Plan that was outstanding immediately prior to the Business Combination, whether vested or unvested, was converted into an option under the 2020 Plan (defined below) to purchase a number of shares of Class A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Legacy LMC option immediately prior to the consummation of the Business Combination. All stock option activity was retroactively restated to reflect the exchanged options.</w:t>
      </w:r>
    </w:p>
    <w:p>
      <w:pPr>
        <w:spacing w:after="0" w:line="18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At the Company’s special meeting of stockholders held on October 22, 2020, the stockholders approved the 2020 Equity Incentive Plan (the “2020 Plan”). The aggregate number of additional shares authorized for issuance under the 2020 plan will not exceed 13 million. The 2020 Plan provides for the grant of stock options, restricted stock, restricted stock units (RSUs), stock appreciation rights, and performance units and performance shares intended to attract, retain, incentivize and reward employees, directors or consultants.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ISO and NQSO shall not be less than 100% of the estimated fair value of the shares on the date of grant, and (ii) the exercise price of an ISO granted to a 10% shareholder shall not be less than 110% of the estimated fair value of the shares on the date of grant. Options generally become exercisable between one and four years after the date of grant and expire ten years from the date of the grant.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Company recognizes compensation expense for the shares equal to the fair value of the option at the time of grant. The expense is recognized on a straight-line basis over the vesting period of the awards. The weighted-average grant date fair value of stock options granted to employees in 2021, 2020, and 2019 was $5.76 per share, $1.08 per share, and $1.09 per share, respectively. The estimated fair value of each stock option grant was computed using the following weighted average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r>
      <w:tr>
        <w:trPr>
          <w:trHeight w:val="171"/>
        </w:trPr>
        <w:tc>
          <w:tcPr>
            <w:tcW w:w="60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term (life) of options (in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expected volatility was estimated by management based on results from public companies in the industry. The expected life of options granted in 2021 was estimated based on historical option exercise data as compared to previous years when the expected term of the awards granted was assumed to be the contract life of the option. The risk-free rate of return was based on market yields in effect on the date of each grant for United States Treasury debt securities with a maturity equal to the expected term of the award. The expected dividends are zero as the Company has not historically paid dividends.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stock options are summarized as follows: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 except for per option values and years)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($000's)</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April 30,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4,436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Outstanding, December 31, 2019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Expired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Exercisable, December 31, 2021</w:t>
            </w:r>
          </w:p>
        </w:tc>
        <w:tc>
          <w:tcPr>
            <w:tcW w:w="680" w:type="dxa"/>
            <w:vAlign w:val="bottom"/>
          </w:tcPr>
          <w:p>
            <w:pPr>
              <w:jc w:val="right"/>
              <w:spacing w:after="0"/>
              <w:rPr>
                <w:sz w:val="20"/>
                <w:szCs w:val="20"/>
                <w:color w:val="auto"/>
              </w:rPr>
            </w:pPr>
            <w:r>
              <w:rPr>
                <w:rFonts w:ascii="Arial" w:cs="Arial" w:eastAsia="Arial" w:hAnsi="Arial"/>
                <w:sz w:val="18"/>
                <w:szCs w:val="18"/>
                <w:color w:val="auto"/>
              </w:rPr>
              <w:t>1,340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aggregate intrinsic value is calculated as the difference between the market value of our Class A common stock as of December 31, 2021 and the respective exercise prices of the options. The market value as of December 31, 2021 was $3.45 per share, which is the closing sale price of our Class A common stock on December 31, 2021, as reported by the Nasdaq Global Select Market.</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details of our exercisable stock options and stock options outstanding are summarized as follows: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(in thousands except for per exercise prices and years)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5"/>
          </w:tcPr>
          <w:p>
            <w:pPr>
              <w:ind w:left="1180"/>
              <w:spacing w:after="0"/>
              <w:rPr>
                <w:sz w:val="20"/>
                <w:szCs w:val="20"/>
                <w:color w:val="auto"/>
              </w:rPr>
            </w:pPr>
            <w:r>
              <w:rPr>
                <w:rFonts w:ascii="Arial" w:cs="Arial" w:eastAsia="Arial" w:hAnsi="Arial"/>
                <w:sz w:val="14"/>
                <w:szCs w:val="14"/>
                <w:b w:val="1"/>
                <w:bCs w:val="1"/>
                <w:color w:val="auto"/>
              </w:rPr>
              <w:t>Options Outstanding</w:t>
            </w:r>
          </w:p>
        </w:tc>
        <w:tc>
          <w:tcPr>
            <w:tcW w:w="282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1280" w:type="dxa"/>
            <w:vAlign w:val="bottom"/>
            <w:gridSpan w:val="2"/>
            <w:vMerge w:val="restart"/>
          </w:tcPr>
          <w:p>
            <w:pPr>
              <w:jc w:val="center"/>
              <w:ind w:left="535"/>
              <w:spacing w:after="0"/>
              <w:rPr>
                <w:sz w:val="20"/>
                <w:szCs w:val="20"/>
                <w:color w:val="auto"/>
              </w:rPr>
            </w:pPr>
            <w:r>
              <w:rPr>
                <w:rFonts w:ascii="Arial" w:cs="Arial" w:eastAsia="Arial" w:hAnsi="Arial"/>
                <w:sz w:val="14"/>
                <w:szCs w:val="14"/>
                <w:b w:val="1"/>
                <w:bCs w:val="1"/>
                <w:color w:val="auto"/>
                <w:w w:val="90"/>
              </w:rPr>
              <w:t>Range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80" w:type="dxa"/>
            <w:vAlign w:val="bottom"/>
          </w:tcPr>
          <w:p>
            <w:pPr>
              <w:spacing w:after="0"/>
              <w:rPr>
                <w:sz w:val="10"/>
                <w:szCs w:val="10"/>
                <w:color w:val="auto"/>
              </w:rPr>
            </w:pPr>
          </w:p>
        </w:tc>
        <w:tc>
          <w:tcPr>
            <w:tcW w:w="102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48"/>
        </w:trPr>
        <w:tc>
          <w:tcPr>
            <w:tcW w:w="1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Exercise Prices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tcBorders>
              <w:top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320" w:type="dxa"/>
            <w:vAlign w:val="bottom"/>
            <w:tcBorders>
              <w:top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$16.22</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$16.22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4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calculate the grant date fair value of RSUs using the closing sale price of our Class A common stock on the grant date, as reported by the Nasdaq Global Select Market. The fair value of the unvested restricted stock units is recognized on a straight-line basis over the respective requisite service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RSUs are summarized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fair values)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2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c>
          <w:tcPr>
            <w:tcW w:w="160" w:type="dxa"/>
            <w:vAlign w:val="bottom"/>
          </w:tcPr>
          <w:p>
            <w:pPr>
              <w:spacing w:after="0"/>
              <w:rPr>
                <w:sz w:val="14"/>
                <w:szCs w:val="14"/>
                <w:color w:val="auto"/>
              </w:rPr>
            </w:pPr>
          </w:p>
        </w:tc>
        <w:tc>
          <w:tcPr>
            <w:tcW w:w="1320" w:type="dxa"/>
            <w:vAlign w:val="bottom"/>
          </w:tcPr>
          <w:p>
            <w:pPr>
              <w:jc w:val="center"/>
              <w:ind w:right="84"/>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320" w:type="dxa"/>
            <w:vAlign w:val="bottom"/>
          </w:tcPr>
          <w:p>
            <w:pPr>
              <w:jc w:val="center"/>
              <w:ind w:right="84"/>
              <w:spacing w:after="0"/>
              <w:rPr>
                <w:sz w:val="20"/>
                <w:szCs w:val="20"/>
                <w:color w:val="auto"/>
              </w:rPr>
            </w:pPr>
            <w:r>
              <w:rPr>
                <w:rFonts w:ascii="Arial" w:cs="Arial" w:eastAsia="Arial" w:hAnsi="Arial"/>
                <w:sz w:val="14"/>
                <w:szCs w:val="14"/>
                <w:b w:val="1"/>
                <w:bCs w:val="1"/>
                <w:color w:val="auto"/>
                <w:w w:val="91"/>
              </w:rPr>
              <w:t>As of 12/31/2021</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Awarded</w:t>
            </w:r>
          </w:p>
        </w:tc>
        <w:tc>
          <w:tcPr>
            <w:tcW w:w="900" w:type="dxa"/>
            <w:vAlign w:val="bottom"/>
          </w:tcPr>
          <w:p>
            <w:pPr>
              <w:jc w:val="right"/>
              <w:spacing w:after="0"/>
              <w:rPr>
                <w:sz w:val="20"/>
                <w:szCs w:val="20"/>
                <w:color w:val="auto"/>
              </w:rPr>
            </w:pPr>
            <w:r>
              <w:rPr>
                <w:rFonts w:ascii="Arial" w:cs="Arial" w:eastAsia="Arial" w:hAnsi="Arial"/>
                <w:sz w:val="18"/>
                <w:szCs w:val="18"/>
                <w:color w:val="auto"/>
              </w:rPr>
              <w:t>6,414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aggregate intrinsic value is calculated using the market value of our Class A common stock as of December 31, 2021. The market value as of December 31, 2021 was $3.45 per share, which is the closing sale price of our Class A common stock on December 31, 2021, as reported by the Nasdaq Global Select Market.</w:t>
      </w:r>
    </w:p>
    <w:p>
      <w:pPr>
        <w:spacing w:after="0" w:line="18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Total stock-based compensation expense for the years ended December 31, 2021, and 2020, and for the period from April 30, 2019 to December 31, 2019 was $18.7 million, $2.8 million and $0.3 million, respectively. As of December 31, 2021, 2020 and 2019, unrecognized compensation expense was $63.7 million, $2.7 million and $4.4 million, respectively, for unvested options and awards.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 STOCK AND EARNINGS PER SHARE</w:t>
      </w:r>
    </w:p>
    <w:p>
      <w:pPr>
        <w:spacing w:after="0" w:line="229"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231F20"/>
        </w:rPr>
        <w:t xml:space="preserve">Our Charter provides for 312 million authorized shares of capital stock, consisting of (i) 300 million shares of Class A common stock and (ii) 12 million shares of preferred stock each with a par value of $0.0001. We had 196.4 million, </w:t>
      </w:r>
      <w:r>
        <w:rPr>
          <w:rFonts w:ascii="Arial" w:cs="Arial" w:eastAsia="Arial" w:hAnsi="Arial"/>
          <w:sz w:val="16"/>
          <w:szCs w:val="16"/>
          <w:color w:val="000000"/>
        </w:rPr>
        <w:t>168.0 million and 68.3</w:t>
      </w:r>
      <w:r>
        <w:rPr>
          <w:rFonts w:ascii="Arial" w:cs="Arial" w:eastAsia="Arial" w:hAnsi="Arial"/>
          <w:sz w:val="16"/>
          <w:szCs w:val="16"/>
          <w:color w:val="231F20"/>
        </w:rPr>
        <w:t xml:space="preserve"> </w:t>
      </w:r>
      <w:r>
        <w:rPr>
          <w:rFonts w:ascii="Arial" w:cs="Arial" w:eastAsia="Arial" w:hAnsi="Arial"/>
          <w:sz w:val="16"/>
          <w:szCs w:val="16"/>
          <w:color w:val="000000"/>
        </w:rPr>
        <w:t xml:space="preserve">million shares of Class A common stock issued and outstanding </w:t>
      </w:r>
      <w:r>
        <w:rPr>
          <w:rFonts w:ascii="Arial" w:cs="Arial" w:eastAsia="Arial" w:hAnsi="Arial"/>
          <w:sz w:val="16"/>
          <w:szCs w:val="16"/>
          <w:color w:val="231F20"/>
        </w:rPr>
        <w:t>a</w:t>
      </w:r>
      <w:r>
        <w:rPr>
          <w:rFonts w:ascii="Arial" w:cs="Arial" w:eastAsia="Arial" w:hAnsi="Arial"/>
          <w:sz w:val="16"/>
          <w:szCs w:val="16"/>
          <w:color w:val="000000"/>
        </w:rPr>
        <w:t>s of December 31, 2021, 2020 and 2019, respectively.</w:t>
      </w:r>
    </w:p>
    <w:p>
      <w:pPr>
        <w:spacing w:after="0" w:line="14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year ended December 31, 2021 our share equivalent included 3.8 million options,1.6 million BGL Warrants, and 2.3 million Private Warrants outstanding. For the year ended December 31, 2020 our share equivalent included 5.3 million options,1.6 million BGL Warrants, 6.6 million Public Warrants and 5.1 million Private Warrants outstanding. None of the stock options or warrants were included in the calculation of diluted EPS because we recorded a net loss for the years ended December 31, 2021 and 2020 as including these instruments would be anti-dilutive.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For the period from</w:t>
            </w:r>
          </w:p>
        </w:tc>
      </w:tr>
      <w:tr>
        <w:trPr>
          <w:trHeight w:val="162"/>
        </w:trPr>
        <w:tc>
          <w:tcPr>
            <w:tcW w:w="504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5"/>
              </w:rPr>
              <w:t>April 30, 2019</w:t>
            </w:r>
          </w:p>
        </w:tc>
      </w:tr>
      <w:tr>
        <w:trPr>
          <w:trHeight w:val="171"/>
        </w:trPr>
        <w:tc>
          <w:tcPr>
            <w:tcW w:w="50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2021</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to December 31, 2019</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180,722</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96,716</w:t>
            </w:r>
          </w:p>
        </w:tc>
        <w:tc>
          <w:tcPr>
            <w:tcW w:w="1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68,279</w:t>
            </w:r>
          </w:p>
        </w:tc>
      </w:tr>
    </w:tbl>
    <w:p>
      <w:pPr>
        <w:spacing w:after="0" w:line="202"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O</w:t>
      </w:r>
      <w:r>
        <w:rPr>
          <w:rFonts w:ascii="Arial" w:cs="Arial" w:eastAsia="Arial" w:hAnsi="Arial"/>
          <w:sz w:val="17"/>
          <w:szCs w:val="17"/>
          <w:color w:val="231F20"/>
        </w:rPr>
        <w:t>n July 23, 2021, the Company entered into an Equity Purchase Agreement with YA, pursuant to which YA has committed to</w:t>
      </w:r>
      <w:r>
        <w:rPr>
          <w:rFonts w:ascii="Arial" w:cs="Arial" w:eastAsia="Arial" w:hAnsi="Arial"/>
          <w:sz w:val="17"/>
          <w:szCs w:val="17"/>
          <w:color w:val="auto"/>
        </w:rPr>
        <w:t xml:space="preserve"> </w:t>
      </w:r>
      <w:r>
        <w:rPr>
          <w:rFonts w:ascii="Arial" w:cs="Arial" w:eastAsia="Arial" w:hAnsi="Arial"/>
          <w:sz w:val="17"/>
          <w:szCs w:val="17"/>
          <w:color w:val="231F20"/>
        </w:rPr>
        <w:t xml:space="preserve">purchase up to $400 million of our Class A common stock, at our direction from time to time, subject to the satisfaction of certain conditions. </w:t>
      </w:r>
      <w:r>
        <w:rPr>
          <w:rFonts w:ascii="Arial" w:cs="Arial" w:eastAsia="Arial" w:hAnsi="Arial"/>
          <w:sz w:val="17"/>
          <w:szCs w:val="17"/>
          <w:color w:val="000000"/>
        </w:rPr>
        <w:t>Such sales of Class A common stock, are subject to certain limitations, and may occur from time to time at our sole</w:t>
      </w:r>
      <w:r>
        <w:rPr>
          <w:rFonts w:ascii="Arial" w:cs="Arial" w:eastAsia="Arial" w:hAnsi="Arial"/>
          <w:sz w:val="17"/>
          <w:szCs w:val="17"/>
          <w:color w:val="231F20"/>
        </w:rPr>
        <w:t xml:space="preserve"> </w:t>
      </w:r>
      <w:r>
        <w:rPr>
          <w:rFonts w:ascii="Arial" w:cs="Arial" w:eastAsia="Arial" w:hAnsi="Arial"/>
          <w:sz w:val="17"/>
          <w:szCs w:val="17"/>
          <w:color w:val="000000"/>
        </w:rPr>
        <w:t>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177"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Under applicable Nasdaq rules and the Equity Purchase Agreement, we will not sell to YA shares of our Class A common stock in excess of 35.1 million shares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Common Shares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6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is equal to the lesser of: (i) an amount equal to thirty percent (30%) of the 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of the conditions under the Equity Purchase Agreement, we may deliver Advance Notices from time to time, provided that we have delivered all shares relating to all prior Advance Notices. The purchase price of the shares of Class A common stock will be equal to 97% of the simple average of the daily VWAPs for the three trading days following the Advance Notice as set forth in the Equity Purchase Agreement.</w:t>
      </w:r>
    </w:p>
    <w:p>
      <w:pPr>
        <w:spacing w:after="0" w:line="18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6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During the year ended December 31, 2021, inclusive of the 0.4 million Commitment Shares, we issued 9.6 million shares to YA and received $49.4 million cash, net of equity issuance costs.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As of December 31, 2021, we were in compliance with the terms and conditions of the Equity Purchase Agreement and the remaining availability under the Equity Purchase Agreement was $350 million which is subject to certain limitations as described above.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 December 31:</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(in thousands except for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Rate</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Rate</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as statutory rates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(86,177)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(26,050)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40" w:type="dxa"/>
            <w:vAlign w:val="bottom"/>
            <w:gridSpan w:val="3"/>
          </w:tcPr>
          <w:p>
            <w:pPr>
              <w:jc w:val="right"/>
              <w:ind w:right="3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 &amp; Local Taxes/ Other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90,423</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25,826</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23"/>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20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other</w:t>
            </w: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1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27,986</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(27,986)</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7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had $712.4 million and $131.2 million of net operating losses as of December 31, 2021 and 2020, respectively. No income taxes were paid during 2021, 2020 or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has entered into a supply agreement with Samsung to purchase lithium-ion cylindrical battery cells. The agreement provides for certain pricing and minimum quantity parameters, including our obligation to purchase such minimum amounts which total approximately $16.3 million in 2022, subject to change for increases in raw material pricing.</w:t>
      </w:r>
    </w:p>
    <w:p>
      <w:pPr>
        <w:spacing w:after="0" w:line="18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As of December 31, 2021, we have not established accruals or reserves as to most of our proceedings.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18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6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10, 2022, the Court issued a tentative ruling denying Karma’s request for terminating sanctions but ordering Mr. Post and the Company to reimburse Karma for the costs incurred by Karma as a result of Mr. Post’s and the Company’s failure to comply with the Court’s orders, including attorneys’ fees and costs related to the filing of Karma’s motion for sanctions. Karma has yet to file a request for this reimbursement.</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is now scheduled to close on July 5, 2022. There are no other case deadlines or a scheduled trial date at this time. A status conference with the District Court has been set for March 7, 2022, at which time we expect case deadlines and a trial date to be established.</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 al.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their motion to dismiss on November 9, 2021, and plaintiffs filed their opposition on January 17, 2022. The motion to dismiss will be fully briefed by March 3,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The motion is fully briefed as of December 22, 2021. 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On January 18, 2022, the defendants filed a motion to stay pending resolution of the consolidated securities class action. The parties do not yet have a schedule for briefing the motion to stay or responding to the complaint. A second related stockholder derivative lawsuit was filed in the Delaware Court of Chancery on February 18, 2022 (Jackson v. Burns, et al. (C.A. No. 2022-0164)), also asserting breach of fiduciary duties, unjust enrichment, and insider selling, based on similar facts as the federal derivative actions. The parties do not yet have a schedule for responding to the complaint.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December 2, 2020, Detroit Utilities (“DTEL”) filed a complaint with the Trumbull County Common Pleas Court in Warren, Ohio alleging we breached a Utilities Services Agreement due to non-payment for services 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On January 13, 2022, Lordstown filed a Motion to Stay Execution of Judgement. DTEL opposed the motion on January 24, 2022, seeking $2.5 million, plus interest through the date of the court’s order. Lordstown filed a Notice of Appeal on February 7, 2022 and is pursuing settlement discussions and, pending final disposition of the matter, the Company has accrued the judgement amount of $2.5 million as of December 31, 2021.</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January 10 and 18, 2022, the defendants filed motions to dismiss these actions.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are scheduled for oral argument on February 28, 2022. The motions to dismiss will be fully briefed on April 27, 2022 and are scheduled for oral argument on May 10, 2022.</w:t>
      </w:r>
    </w:p>
    <w:p>
      <w:pPr>
        <w:spacing w:after="0" w:line="18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has also received two subpoenas from the SEC for the production of documents an</w:t>
      </w:r>
      <w:r>
        <w:rPr>
          <w:rFonts w:ascii="Arial" w:cs="Arial" w:eastAsia="Arial" w:hAnsi="Arial"/>
          <w:sz w:val="17"/>
          <w:szCs w:val="17"/>
          <w:color w:val="231F20"/>
        </w:rPr>
        <w:t>d information, including relating to</w:t>
      </w:r>
      <w:r>
        <w:rPr>
          <w:rFonts w:ascii="Arial" w:cs="Arial" w:eastAsia="Arial" w:hAnsi="Arial"/>
          <w:sz w:val="17"/>
          <w:szCs w:val="17"/>
          <w:color w:val="auto"/>
        </w:rPr>
        <w:t xml:space="preserve"> </w:t>
      </w:r>
      <w:r>
        <w:rPr>
          <w:rFonts w:ascii="Arial" w:cs="Arial" w:eastAsia="Arial" w:hAnsi="Arial"/>
          <w:sz w:val="17"/>
          <w:szCs w:val="17"/>
          <w:color w:val="231F20"/>
        </w:rPr>
        <w:t>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November 7, 2019, the Company entered into an Asset Transfer Agreement, Operating Agreement and separate Mortgage Agreement (collectively, the “GM Agreements”) with GM. Pursuant to the GM Agreements, the Company incurred debt to GM recorded as a related party note payable in the principal amount of $20.0 million, secured by the real property described in Note 4. The Company had imputed interest of 5% on the related party note payable until February 1, 2020 when the stated interest rate of 7% began per the terms of the GM Agreement. As of the date of the Business Combination, our related party note payable for the plant and interest totaled $20.8 million and was settled as part of the Business Combination.</w:t>
      </w:r>
    </w:p>
    <w:p>
      <w:pPr>
        <w:spacing w:after="0" w:line="1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conjunction with the Operating Agreement described above, the Company was also required to reimburse GM for expenditures related to general plant maintenance and compliance associated with the Lordstown facility. The Company recorded expenses of $2.1 million and $2.6 million during the year ended December 31, 2021 and the period from April 30, 2019 to December 31, 2019, respectively. Additionally, the Company also purchased property from GM for $1.2 million which was recorded to CIP. As of the date of the Closing, we had accrued a total of $5.9 million as a Due to Related Party liability which was converted to equity as part of the Business Combination.</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$10.0 million secured by the Company’s property, plant and equipment and intangible assets. Pursuant to the terms of the Convertible Note, the Company had the ability to periodically draw down on the Convertible Note to meet its working capital needs. The Convertible Note had a $5.0 million balance at the closing of the Business Combination and was converted to equity as described in Note 1.</w:t>
      </w:r>
    </w:p>
    <w:p>
      <w:pPr>
        <w:spacing w:after="0" w:line="14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2023, 2024 and 2025, it is possible that this agreement could extend beyond these model years if we do not achieve ten or more months of production during those annual production/model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As of December 31, 2020, intangible assets included patents, copyrights, trade secrets, know-how, software, and all other intellectual property and proprietary rights connected with the electric pickup truck and other electric vehicle technology owned by Workhorse and contributed in exchange for equity in the Company.</w:t>
      </w:r>
    </w:p>
    <w:p>
      <w:pPr>
        <w:spacing w:after="0" w:line="1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November 2020, we pre-paid a royalty payment to Workhorse Group in the amount of $4.75 million. The upfront royalty payment represented an advance on the royalties discussed above but only to the extent that the aggregate amount of such royalty fees exceeded the amount paid upfront. The upfront royalty payment was recorded as a prepaid expense and an other non-current assets as of December 31, 2020 and December 31, 2021, respectively.</w:t>
      </w:r>
    </w:p>
    <w:p>
      <w:pPr>
        <w:spacing w:after="0" w:line="14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considered technologies we would use in future vehicles. Given the lack of Workhorse technology used in the Endurance and new management’s strategic direction of the Company, inclusive of the transactions contemplated with Foxconn as detailed in Note 1, we deemed it appropriate to change the useful life of the technology we acquired from Workhorse to zero months. As such, we recorded accelerated amortization of $11.1 million during the year ended December 31, 2021.</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7461885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381000</wp:posOffset>
            </wp:positionV>
            <wp:extent cx="6292215"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440690</wp:posOffset>
            </wp:positionV>
            <wp:extent cx="62922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6630035</wp:posOffset>
            </wp:positionV>
            <wp:extent cx="62922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6673215</wp:posOffset>
            </wp:positionV>
            <wp:extent cx="6292215"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3329940</wp:posOffset>
            </wp:positionV>
            <wp:extent cx="3686175" cy="419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86175" cy="4197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231F20"/>
        </w:rPr>
        <w:t>Information Not Required in Prospectus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r>
      <w:tr>
        <w:trPr>
          <w:trHeight w:val="209"/>
        </w:trPr>
        <w:tc>
          <w:tcPr>
            <w:tcW w:w="100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281,765</w:t>
            </w:r>
          </w:p>
        </w:tc>
      </w:tr>
      <w:tr>
        <w:trPr>
          <w:trHeight w:val="216"/>
        </w:trPr>
        <w:tc>
          <w:tcPr>
            <w:tcW w:w="100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00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80"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231F20"/>
        </w:rPr>
        <w:t>These fees are calculated based on the securities offered and the number of issuances and accordingly cannot be defined at this time.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14.</w:t>
      </w:r>
      <w:r>
        <w:rPr>
          <w:sz w:val="20"/>
          <w:szCs w:val="20"/>
          <w:color w:val="auto"/>
        </w:rPr>
        <w:tab/>
      </w:r>
      <w:r>
        <w:rPr>
          <w:rFonts w:ascii="Arial" w:cs="Arial" w:eastAsia="Arial" w:hAnsi="Arial"/>
          <w:sz w:val="16"/>
          <w:szCs w:val="16"/>
          <w:b w:val="1"/>
          <w:bCs w:val="1"/>
          <w:color w:val="231F20"/>
        </w:rPr>
        <w:t>Indemnification of Directors and Officers.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6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7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84" w:lineRule="exact"/>
        <w:rPr>
          <w:sz w:val="20"/>
          <w:szCs w:val="20"/>
          <w:color w:val="auto"/>
        </w:rPr>
      </w:pPr>
    </w:p>
    <w:p>
      <w:pPr>
        <w:ind w:left="4820" w:right="3400" w:hanging="4461"/>
        <w:spacing w:after="0" w:line="778" w:lineRule="auto"/>
        <w:tabs>
          <w:tab w:leader="none" w:pos="674" w:val="left"/>
        </w:tabs>
        <w:numPr>
          <w:ilvl w:val="0"/>
          <w:numId w:val="64"/>
        </w:numPr>
        <w:rPr>
          <w:rFonts w:ascii="Arial" w:cs="Arial" w:eastAsia="Arial" w:hAnsi="Arial"/>
          <w:sz w:val="18"/>
          <w:szCs w:val="18"/>
          <w:color w:val="auto"/>
        </w:rPr>
      </w:pPr>
      <w:r>
        <w:rPr>
          <w:rFonts w:ascii="Arial" w:cs="Arial" w:eastAsia="Arial" w:hAnsi="Arial"/>
          <w:sz w:val="18"/>
          <w:szCs w:val="18"/>
          <w:color w:val="231F20"/>
        </w:rPr>
        <w:t xml:space="preserve">for any transaction from which the director derives an improper personal benefit; </w:t>
      </w:r>
      <w:r>
        <w:rPr>
          <w:rFonts w:ascii="Arial" w:cs="Arial" w:eastAsia="Arial" w:hAnsi="Arial"/>
          <w:sz w:val="18"/>
          <w:szCs w:val="18"/>
          <w:color w:val="000000"/>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80" w:hanging="321"/>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231F20"/>
        </w:rPr>
        <w:t>for 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231F20"/>
        </w:rPr>
        <w:t>for any unlawful payment of dividends or redemption of shares;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231F20"/>
        </w:rPr>
        <w:t>for any breach of a director’s duty of loyalty to the corporation or its stockholders.</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24"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5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231F20"/>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15.</w:t>
      </w:r>
      <w:r>
        <w:rPr>
          <w:sz w:val="20"/>
          <w:szCs w:val="20"/>
          <w:color w:val="auto"/>
        </w:rPr>
        <w:tab/>
      </w:r>
      <w:r>
        <w:rPr>
          <w:rFonts w:ascii="Arial" w:cs="Arial" w:eastAsia="Arial" w:hAnsi="Arial"/>
          <w:sz w:val="15"/>
          <w:szCs w:val="15"/>
          <w:b w:val="1"/>
          <w:bCs w:val="1"/>
          <w:color w:val="231F20"/>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November 2018, the Sponsor acquired 7,187,500 shares of our Class B common stock, or founder shares, in exchange for a capital contribution of $25,000. In February 2019, the Sponsor forfeited 812,500 founder shares and the Anchor Investor purchased 812,500 founder shares for an aggregate purchase price of approximately $2,826. As a result of the underwriters’ election to partially exercise their over-allotment option in connection with the Initial Public Offering, 187,500 founder shares were forfeited, resulting in an aggregate of 7,000,000 founder shares outstanding. The Class B common stock was convertible into Class A common stock upon the consummation of the Business Combination. The shares of Class B common stock were issued to accredited investors pursuant to the exemption from registration contained in Section 4(a)(2) of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Simultaneously with the consummation of the Initial Public Offering, in March 2019, the Sponsor and the Anchor Investor purchased an aggregate of 5,066,667 Private Placement Warrants from us at $1.50 per Warrant for an aggregate purchase price of approximately $7.6 million. Such securities were issued in a private placement to accredited investors pursuant to the exemption from registration contained in Section 4(a)(2) of the Securities Act.</w:t>
      </w:r>
    </w:p>
    <w:p>
      <w:pPr>
        <w:spacing w:after="0" w:line="187" w:lineRule="exact"/>
        <w:rPr>
          <w:sz w:val="20"/>
          <w:szCs w:val="20"/>
          <w:color w:val="auto"/>
        </w:rPr>
      </w:pPr>
    </w:p>
    <w:p>
      <w:pPr>
        <w:jc w:val="both"/>
        <w:ind w:right="120" w:firstLine="324"/>
        <w:spacing w:after="0" w:line="340" w:lineRule="auto"/>
        <w:rPr>
          <w:sz w:val="20"/>
          <w:szCs w:val="20"/>
          <w:color w:val="auto"/>
        </w:rPr>
      </w:pPr>
      <w:r>
        <w:rPr>
          <w:rFonts w:ascii="Arial" w:cs="Arial" w:eastAsia="Arial" w:hAnsi="Arial"/>
          <w:sz w:val="15"/>
          <w:szCs w:val="15"/>
          <w:color w:val="auto"/>
        </w:rPr>
        <w:t>The Private Placement Warrants are the same as the Public Warrants, except that Private Placement Warrants are not transferable, assignable or salable until November 22, 2020, subject to certain limited exceptions. Additionally, the Private Placement Warrants are exercisable on a cashless basis and are non- redeemable so long as they are held by the initial purchasers or their permitted transferees.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Warrants</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On December 16, 2020, we issued a notice of redemption of all of our outstanding Public Warrants on a cash basis. On January 21, 2021, we issued a notice extending the redemption period and completed the redemption on January 27, 2021. The 135,661 Public Warrants not exercised by the end of the redemption period were redeemed for a price of $0.01 per warrant.</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Pursuant to and in connection with the Business Combination Agreement, at the Effective Time, (i) each share of Legacy Lordstown common stock issued and outstanding at the Effective Time converted into 55.8817 shares of our Class A common stock, resulting in an issuance of 75,918,038 shares of Class A common stock in the aggregate, (ii) each outstanding share of Class B common stock converted into one share of Class A common stock, resulting in an issuance of 7,000,000 shares of Class A common stock in the aggregate and (iii) each Legacy Lordstown Option that was outstanding immediately prior to the Effective Time, whether vested or unvested, automatically converted into an Exchanged Option to purchase a number of shares of Class A common stock equal to the product of (x) the number of shares of Legacy Lordstown common stock subject to such Legacy Lordstown Option and (y) the Exchange Ratio, at an exercise price per share equal to (A) the exercise price per share of Legacy Lordstown common stock of such Legacy Lordstown Option immediately prior to the Effective Time divided by (B) the Exchange Ratio. The issuance of securities in connection with the Business Combination Agreement was made to accredited investors pursuant to an exemption from registration contained in Section 4(a)(2) of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Convertible Promissory Notes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231F20"/>
        </w:rPr>
        <w:t>Also at the Effective Time, each Convertible Promissory Note issued by Legacy Lordstown evidencing indebtedness of an aggregate of $40.0 million plus accrued interest automatically converted, in accordance with the terms thereof, into shares of Class A common stock at a price of $10.00 per share resulting in an issuance of 4,031,830 shares of Class A common stock in the aggregate. The issuance of securities upon conversion of the Convertible Promissory Notes was made to accredited investors pursuant to an exemption from registration contained in Section 4(a)(2) of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231F20"/>
        </w:rPr>
        <w:t>In connection with the Business Combination Agreement, we entered into separate Subscription Agreements, each dated as of August 1, 2020, with the PIPE Investors, which were certain qualified institutional buyers and accredited investors, including GM. Pursuant to the Subscription Agreements, among other things, we sold an aggregate of 50,000,000 shares of Class A common stock to the PIPE Investors in a private placement for a purchase price of $10.00 per share, and aggregate consideration of $500.0 million. The purchase price was paid in cash with respect to each of the PIPE Investors except that the purchase price payable by GM consisted of certain in-kind consideration and a cash payment in an amount equal to the difference between the purchase price applicable to GM and the value of such in-kind consideration. The issuance of securities in connection with the PIPE Investment was made pursuant to an exemption from registration contained in Section 4(a)(2) of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BGL Warrant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Concurrently with the Closing, we issued the BGL Warrants to BGL entitling BGL to purchase, in the aggregate, 1,649,489 shares of Class A common as part of BGL’s consideration for services provided to Legacy Lordstown as financial advisor in connection with the Business Combination and other transactions. The issuance of the BGL Warrants were made pursuant to an exemption from registration contained in Section 4(a)(2)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 xml:space="preserve">On </w:t>
      </w:r>
      <w:r>
        <w:rPr>
          <w:rFonts w:ascii="Arial" w:cs="Arial" w:eastAsia="Arial" w:hAnsi="Arial"/>
          <w:sz w:val="17"/>
          <w:szCs w:val="17"/>
          <w:color w:val="231F20"/>
        </w:rPr>
        <w:t>July</w:t>
      </w:r>
      <w:r>
        <w:rPr>
          <w:rFonts w:ascii="Arial" w:cs="Arial" w:eastAsia="Arial" w:hAnsi="Arial"/>
          <w:sz w:val="17"/>
          <w:szCs w:val="17"/>
          <w:color w:val="auto"/>
        </w:rPr>
        <w:t xml:space="preserve"> 23, 2021, we completed a private placement to YA II PN, LTD. pursuant to which we have the right to sell to YA up to</w:t>
      </w:r>
    </w:p>
    <w:p>
      <w:pPr>
        <w:spacing w:after="0" w:line="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$400 million in shares of Class A common stock, subject to certain limitations, from time to time over the approximate 36-month period from the date of the Equity Purchase Agreement. We issued 371,287 Commitment Shares to YA as consideration for its commitment to purchase our shares under the Equity Purchase Agreement and may issue up to $400 million shares of Class A common stock pursuant to the Equity Purchase Agreement, the resale of 35,144,690 such shares is registered for resale pursuant to a Registration Statement on Form S-1, filed July 30, 2021. As of March 1, 2022, including the 371,287 Commitment Shares, we have issued a total of 9,592,200 shares to YA for approximately $49.4 million, net of equity issuance costs. In the Equity Purchase Agreement, YA represented to us, among other things, that it was an “accredited investor” (as such term is defined in Rule 501(a) of Regulation D under the Securities Act of 1933, or the Securities Act). The securities were sold by us under the Equity Purchase Agreement in reliance upon an exemption from the registration requirements under the Securities Act afforded by Section 4(a)(2) of the Securities 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Foxconn Investment</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connection with the Foxconn Transactions, we entered into the Subscription Agreement, dated September 30, 2021, pursuant to which the Company agreed to issue and sell, and Foxconn agreed to purchase, 7.2 million shares of the Company's Class A common stock for $6.8983 per share in cash, or approximately $50.0 million in total consideration. In addition, in connection with the closing of the Asset Purchase Agreement, the Company will issue warrants to Foxconn that are exercisable until the third anniversary of the closing for 1.7 million shares of Class A common stock at an exercise price of $10.50 per share (the “Foxconn Warrants”). Foxconn represented to us, among other things, in the Subscription Agreement that it was an “accredited investor” (as such term is defined in Rule 501(a) of Regulation D under the Securities Act of 1933, or the Securities Act). The securities were sold by us on October 12, 2021 under the Subscription Agreement, and we will issue the Foxconn Warrants, in reliance upon an exemption from the registration requirements under the Securities Act afforded by Section 4(a)(2) of the Securities Act.</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w w:val="98"/>
              </w:rPr>
              <w:t>Exhibit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gridSpan w:val="19"/>
            <w:vMerge w:val="restart"/>
          </w:tcPr>
          <w:p>
            <w:pPr>
              <w:ind w:left="80"/>
              <w:spacing w:after="0"/>
              <w:rPr>
                <w:sz w:val="20"/>
                <w:szCs w:val="20"/>
                <w:color w:val="auto"/>
              </w:rPr>
            </w:pPr>
            <w:r>
              <w:rPr>
                <w:rFonts w:ascii="Arial" w:cs="Arial" w:eastAsia="Arial" w:hAnsi="Arial"/>
                <w:sz w:val="14"/>
                <w:szCs w:val="14"/>
                <w:b w:val="1"/>
                <w:bCs w:val="1"/>
                <w:color w:val="231F20"/>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w w:val="97"/>
              </w:rPr>
              <w:t>No.</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231F20"/>
                <w:w w:val="89"/>
              </w:rPr>
              <w:t>2.1+</w:t>
            </w:r>
          </w:p>
        </w:tc>
        <w:tc>
          <w:tcPr>
            <w:tcW w:w="180" w:type="dxa"/>
            <w:vAlign w:val="bottom"/>
          </w:tcPr>
          <w:p>
            <w:pPr>
              <w:spacing w:after="0"/>
              <w:rPr>
                <w:sz w:val="14"/>
                <w:szCs w:val="14"/>
                <w:color w:val="auto"/>
              </w:rPr>
            </w:pPr>
          </w:p>
        </w:tc>
        <w:tc>
          <w:tcPr>
            <w:tcW w:w="8380" w:type="dxa"/>
            <w:vAlign w:val="bottom"/>
            <w:tcBorders>
              <w:top w:val="single" w:sz="8" w:color="auto"/>
              <w:bottom w:val="single" w:sz="8" w:color="0000EE"/>
            </w:tcBorders>
            <w:gridSpan w:val="16"/>
          </w:tcPr>
          <w:p>
            <w:pPr>
              <w:spacing w:after="0" w:line="169"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Agreement and Plan of Merger, dated as of August 1, 2020, by and among DiamondPeak Holding Corp., Lordstown</w:t>
              </w:r>
            </w:hyperlink>
          </w:p>
        </w:tc>
        <w:tc>
          <w:tcPr>
            <w:tcW w:w="380" w:type="dxa"/>
            <w:vAlign w:val="bottom"/>
            <w:tcBorders>
              <w:top w:val="single" w:sz="8" w:color="auto"/>
            </w:tcBorders>
            <w:gridSpan w:val="1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Motors Corp. and Merger Sub (incorporated by reference to the Company’s Current Report on Form 8-K, filed with the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SEC on August 3, 2020)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7"/>
              </w:rPr>
              <w:t>3.1</w:t>
            </w:r>
          </w:p>
        </w:tc>
        <w:tc>
          <w:tcPr>
            <w:tcW w:w="180" w:type="dxa"/>
            <w:vAlign w:val="bottom"/>
          </w:tcPr>
          <w:p>
            <w:pPr>
              <w:spacing w:after="0"/>
              <w:rPr>
                <w:sz w:val="17"/>
                <w:szCs w:val="17"/>
                <w:color w:val="auto"/>
              </w:rPr>
            </w:pPr>
          </w:p>
        </w:tc>
        <w:tc>
          <w:tcPr>
            <w:tcW w:w="86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Second Amended and Restated Certificate of Incorporation (incorporated by reference to the Company’s Current Report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on Form 8-K, filed with the SEC on October 29, 2020)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7"/>
              </w:rPr>
              <w:t>3.2</w:t>
            </w: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Amended and Restated Bylaws (incorporated by reference to the Company’s Current Report on Form 8-K, filed with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SEC on October 29, 2020)</w:t>
              </w:r>
            </w:hyperlink>
          </w:p>
        </w:tc>
        <w:tc>
          <w:tcPr>
            <w:tcW w:w="6760" w:type="dxa"/>
            <w:vAlign w:val="bottom"/>
            <w:tcBorders>
              <w:top w:val="single" w:sz="8" w:color="0000EE"/>
            </w:tcBorders>
            <w:gridSpan w:val="21"/>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7"/>
              </w:rPr>
              <w:t>4.1</w:t>
            </w:r>
          </w:p>
        </w:tc>
        <w:tc>
          <w:tcPr>
            <w:tcW w:w="180" w:type="dxa"/>
            <w:vAlign w:val="bottom"/>
          </w:tcPr>
          <w:p>
            <w:pPr>
              <w:spacing w:after="0"/>
              <w:rPr>
                <w:sz w:val="17"/>
                <w:szCs w:val="17"/>
                <w:color w:val="auto"/>
              </w:rPr>
            </w:pPr>
          </w:p>
        </w:tc>
        <w:tc>
          <w:tcPr>
            <w:tcW w:w="85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Description of Class A Common Stock (incorporated by reference to the Company’s Annual Report on Form 10-K for</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the fiscal year ended December 31, 2021, filed with the SEC on February 28, 2022)</w:t>
              </w:r>
            </w:hyperlink>
          </w:p>
        </w:tc>
        <w:tc>
          <w:tcPr>
            <w:tcW w:w="2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7"/>
              </w:rPr>
              <w:t>4.2</w:t>
            </w:r>
          </w:p>
        </w:tc>
        <w:tc>
          <w:tcPr>
            <w:tcW w:w="180" w:type="dxa"/>
            <w:vAlign w:val="bottom"/>
          </w:tcPr>
          <w:p>
            <w:pPr>
              <w:spacing w:after="0"/>
              <w:rPr>
                <w:sz w:val="17"/>
                <w:szCs w:val="17"/>
                <w:color w:val="auto"/>
              </w:rPr>
            </w:pPr>
          </w:p>
        </w:tc>
        <w:tc>
          <w:tcPr>
            <w:tcW w:w="82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Warrant Agreement, dated February 27, 2019, by and between the Company and American Stock Transfer &amp; Trust</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Company, LLC, as trustee (including form of warrant certificate) (incorporated by reference to the Company’s Current</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Report on Form 8-K, filed with the SEC on March 5, 2019)</w:t>
              </w:r>
            </w:hyperlink>
          </w:p>
        </w:tc>
        <w:tc>
          <w:tcPr>
            <w:tcW w:w="4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7"/>
              </w:rPr>
              <w:t>5.1</w:t>
            </w: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Opinion of Baker &amp; Hostetler LLP (previously filed)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1"/>
              </w:rPr>
              <w:t>10.1</w:t>
            </w:r>
          </w:p>
        </w:tc>
        <w:tc>
          <w:tcPr>
            <w:tcW w:w="180" w:type="dxa"/>
            <w:vAlign w:val="bottom"/>
          </w:tcPr>
          <w:p>
            <w:pPr>
              <w:spacing w:after="0"/>
              <w:rPr>
                <w:sz w:val="17"/>
                <w:szCs w:val="17"/>
                <w:color w:val="auto"/>
              </w:rPr>
            </w:pPr>
          </w:p>
        </w:tc>
        <w:tc>
          <w:tcPr>
            <w:tcW w:w="85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Form of Subscription Agreement (incorporated by reference to the Company’s Current Report on Form 8-K, filed with</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the SEC on August 3, 2020)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1"/>
              </w:rPr>
              <w:t>10.2</w:t>
            </w:r>
          </w:p>
        </w:tc>
        <w:tc>
          <w:tcPr>
            <w:tcW w:w="180" w:type="dxa"/>
            <w:vAlign w:val="bottom"/>
          </w:tcPr>
          <w:p>
            <w:pPr>
              <w:spacing w:after="0"/>
              <w:rPr>
                <w:sz w:val="17"/>
                <w:szCs w:val="17"/>
                <w:color w:val="auto"/>
              </w:rPr>
            </w:pPr>
          </w:p>
        </w:tc>
        <w:tc>
          <w:tcPr>
            <w:tcW w:w="87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Amended &amp; Restated Registration Rights and Lockup Agreement dated as of August 1, 2020 and effective as of October</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23, 2020 (incorporated by reference to the Company’s Current Report on Form 8-K, filed with the SEC on October 29,</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2">
              <w:r>
                <w:rPr>
                  <w:rFonts w:ascii="Arial" w:cs="Arial" w:eastAsia="Arial" w:hAnsi="Arial"/>
                  <w:sz w:val="18"/>
                  <w:szCs w:val="18"/>
                  <w:color w:val="0000EE"/>
                  <w:w w:val="86"/>
                </w:rPr>
                <w:t>2020)</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8"/>
              </w:rPr>
              <w:t>10.3#</w:t>
            </w:r>
          </w:p>
        </w:tc>
        <w:tc>
          <w:tcPr>
            <w:tcW w:w="180" w:type="dxa"/>
            <w:vAlign w:val="bottom"/>
          </w:tcPr>
          <w:p>
            <w:pPr>
              <w:spacing w:after="0"/>
              <w:rPr>
                <w:sz w:val="17"/>
                <w:szCs w:val="17"/>
                <w:color w:val="auto"/>
              </w:rPr>
            </w:pPr>
          </w:p>
        </w:tc>
        <w:tc>
          <w:tcPr>
            <w:tcW w:w="84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Form of Indemnification Agreement (incorporated by reference to the Company’s Current Report on Form 8-K, filed</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with the SEC on October 29, 2020)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8"/>
              </w:rPr>
              <w:t>10.4#</w:t>
            </w: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2020 Equity Incentive Plan (incorporated by reference to the Company’s proxy statement, filed with the SEC on October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204">
              <w:r>
                <w:rPr>
                  <w:rFonts w:ascii="Arial" w:cs="Arial" w:eastAsia="Arial" w:hAnsi="Arial"/>
                  <w:sz w:val="18"/>
                  <w:szCs w:val="18"/>
                  <w:color w:val="0000EE"/>
                  <w:w w:val="87"/>
                </w:rPr>
                <w:t>8, 2020)</w:t>
              </w:r>
            </w:hyperlink>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8"/>
              </w:rPr>
              <w:t>10.5#</w:t>
            </w:r>
          </w:p>
        </w:tc>
        <w:tc>
          <w:tcPr>
            <w:tcW w:w="180" w:type="dxa"/>
            <w:vAlign w:val="bottom"/>
          </w:tcPr>
          <w:p>
            <w:pPr>
              <w:spacing w:after="0"/>
              <w:rPr>
                <w:sz w:val="17"/>
                <w:szCs w:val="17"/>
                <w:color w:val="auto"/>
              </w:rPr>
            </w:pPr>
          </w:p>
        </w:tc>
        <w:tc>
          <w:tcPr>
            <w:tcW w:w="8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Form of Notice of Stock Option Award Granted Under the Lordstown Motors Corp. 2020 Equity Incentive Plan</w:t>
              </w:r>
            </w:hyperlink>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(incorporated by reference to the Company’s Annual Report on Form 10-K for the fiscal year ended December 31, 2020)</w:t>
              </w:r>
            </w:hyperlink>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8"/>
              </w:rPr>
              <w:t>10.6#</w:t>
            </w:r>
          </w:p>
        </w:tc>
        <w:tc>
          <w:tcPr>
            <w:tcW w:w="18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Form of Notice of Restricted Stock Unit Award Granted Under the Lordstown Motors Corp. 2020 Equity Incentive Plan</w:t>
              </w:r>
            </w:hyperlink>
          </w:p>
        </w:tc>
        <w:tc>
          <w:tcPr>
            <w:tcW w:w="4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(incorporated by reference to the Company’s Annual Report on Form 10-K for the fiscal year ended December 31, 2020)</w:t>
              </w:r>
            </w:hyperlink>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8"/>
              </w:rPr>
              <w:t>10.7#</w:t>
            </w:r>
          </w:p>
        </w:tc>
        <w:tc>
          <w:tcPr>
            <w:tcW w:w="18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Form of Lordstown Motors Corp. 2020 Equity Incentive Plan Outside Director Restricted Stock Unit Agreement</w:t>
              </w:r>
            </w:hyperlink>
          </w:p>
        </w:tc>
        <w:tc>
          <w:tcPr>
            <w:tcW w:w="580" w:type="dxa"/>
            <w:vAlign w:val="bottom"/>
            <w:tcBorders>
              <w:top w:val="single" w:sz="8" w:color="0000EE"/>
            </w:tcBorders>
            <w:gridSpan w:val="13"/>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(incorporated by reference to the Company’s Annual Report on Form 10-K for the fiscal year ended December 31, 2020)</w:t>
              </w:r>
            </w:hyperlink>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88"/>
              </w:rPr>
              <w:t>10.8#</w:t>
            </w:r>
          </w:p>
        </w:tc>
        <w:tc>
          <w:tcPr>
            <w:tcW w:w="180" w:type="dxa"/>
            <w:vAlign w:val="bottom"/>
          </w:tcPr>
          <w:p>
            <w:pPr>
              <w:spacing w:after="0"/>
              <w:rPr>
                <w:sz w:val="17"/>
                <w:szCs w:val="17"/>
                <w:color w:val="auto"/>
              </w:rPr>
            </w:pPr>
          </w:p>
        </w:tc>
        <w:tc>
          <w:tcPr>
            <w:tcW w:w="870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Legacy Lordstown 2019 Incentive Compensation Plan, as amended by Amendment No. 1, effective February 14, 2020</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(including the form of option award agreement thereunder and the terms and conditions that govern the option award</w:t>
              </w:r>
            </w:hyperlink>
          </w:p>
        </w:tc>
        <w:tc>
          <w:tcPr>
            <w:tcW w:w="120" w:type="dxa"/>
            <w:vAlign w:val="bottom"/>
            <w:tcBorders>
              <w:top w:val="single" w:sz="8" w:color="0000EE"/>
            </w:tcBorders>
            <w:gridSpan w:val="4"/>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agreements) (incorporated by reference to the Company’s Current Report on Form 8-K, filed with the SEC on October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208">
              <w:r>
                <w:rPr>
                  <w:rFonts w:ascii="Arial" w:cs="Arial" w:eastAsia="Arial" w:hAnsi="Arial"/>
                  <w:sz w:val="18"/>
                  <w:szCs w:val="18"/>
                  <w:color w:val="0000EE"/>
                  <w:w w:val="86"/>
                </w:rPr>
                <w:t>29, 2020)</w:t>
              </w:r>
            </w:hyperlink>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0"/>
              </w:rPr>
              <w:t>10.13#</w:t>
            </w:r>
          </w:p>
        </w:tc>
        <w:tc>
          <w:tcPr>
            <w:tcW w:w="180" w:type="dxa"/>
            <w:vAlign w:val="bottom"/>
          </w:tcPr>
          <w:p>
            <w:pPr>
              <w:spacing w:after="0"/>
              <w:rPr>
                <w:sz w:val="17"/>
                <w:szCs w:val="17"/>
                <w:color w:val="auto"/>
              </w:rPr>
            </w:pPr>
          </w:p>
        </w:tc>
        <w:tc>
          <w:tcPr>
            <w:tcW w:w="86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Employment Agreement, dated October 1, 2019, between Lordstown Motors Corp. and Thomas V. Canepa, as amended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by Amendment to Employment Agreement, dated July 31, 2020 (incorporated by reference to the Company’s Current</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Report on Form 8-K, filed with the SEC on October 29, 2020)</w:t>
              </w:r>
            </w:hyperlink>
          </w:p>
        </w:tc>
        <w:tc>
          <w:tcPr>
            <w:tcW w:w="42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31F20"/>
        </w:rPr>
        <w:t>Exhibit</w:t>
      </w:r>
    </w:p>
    <w:p>
      <w:pPr>
        <w:spacing w:after="0" w:line="55" w:lineRule="exact"/>
        <w:rPr>
          <w:sz w:val="20"/>
          <w:szCs w:val="20"/>
          <w:color w:val="auto"/>
        </w:rPr>
      </w:pPr>
    </w:p>
    <w:p>
      <w:pPr>
        <w:ind w:left="380"/>
        <w:spacing w:after="0"/>
        <w:tabs>
          <w:tab w:leader="none" w:pos="5160" w:val="left"/>
        </w:tabs>
        <w:rPr>
          <w:sz w:val="20"/>
          <w:szCs w:val="20"/>
          <w:color w:val="auto"/>
        </w:rPr>
      </w:pPr>
      <w:r>
        <w:rPr>
          <w:rFonts w:ascii="Arial" w:cs="Arial" w:eastAsia="Arial" w:hAnsi="Arial"/>
          <w:sz w:val="14"/>
          <w:szCs w:val="14"/>
          <w:b w:val="1"/>
          <w:bCs w:val="1"/>
          <w:color w:val="231F20"/>
        </w:rPr>
        <w:t>No.</w:t>
      </w:r>
      <w:r>
        <w:rPr>
          <w:sz w:val="20"/>
          <w:szCs w:val="20"/>
          <w:color w:val="auto"/>
        </w:rPr>
        <w:tab/>
      </w:r>
      <w:r>
        <w:rPr>
          <w:rFonts w:ascii="Arial" w:cs="Arial" w:eastAsia="Arial" w:hAnsi="Arial"/>
          <w:sz w:val="14"/>
          <w:szCs w:val="14"/>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5" w:lineRule="exact"/>
        <w:rPr>
          <w:sz w:val="20"/>
          <w:szCs w:val="20"/>
          <w:color w:val="auto"/>
        </w:rPr>
      </w:pPr>
    </w:p>
    <w:p>
      <w:pPr>
        <w:ind w:left="1180" w:right="580" w:hanging="921"/>
        <w:spacing w:after="0" w:line="280"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10.14#</w:t>
      </w:r>
      <w:r>
        <w:rPr>
          <w:sz w:val="20"/>
          <w:szCs w:val="20"/>
          <w:color w:val="auto"/>
        </w:rPr>
        <w:tab/>
      </w:r>
      <w:hyperlink r:id="rId212">
        <w:r>
          <w:rPr>
            <w:rFonts w:ascii="Arial" w:cs="Arial" w:eastAsia="Arial" w:hAnsi="Arial"/>
            <w:sz w:val="16"/>
            <w:szCs w:val="16"/>
            <w:u w:val="single" w:color="auto"/>
            <w:color w:val="0000EE"/>
          </w:rPr>
          <w:t>Separation and Release Agreement, dated June 13, 2021, between Lordstown Motors Corp. and Stephen S. Burns</w:t>
        </w:r>
      </w:hyperlink>
      <w:r>
        <w:rPr>
          <w:rFonts w:ascii="Arial" w:cs="Arial" w:eastAsia="Arial" w:hAnsi="Arial"/>
          <w:sz w:val="16"/>
          <w:szCs w:val="16"/>
          <w:u w:val="single" w:color="auto"/>
          <w:color w:val="0000EE"/>
        </w:rPr>
        <w:t xml:space="preserve"> </w:t>
      </w:r>
      <w:hyperlink r:id="rId212">
        <w:r>
          <w:rPr>
            <w:rFonts w:ascii="Arial" w:cs="Arial" w:eastAsia="Arial" w:hAnsi="Arial"/>
            <w:sz w:val="16"/>
            <w:szCs w:val="16"/>
            <w:u w:val="single" w:color="auto"/>
            <w:color w:val="0000EE"/>
          </w:rPr>
          <w:t>(incorporated by reference to the Company’s Current Report on Form 8-K, filed with the SEC on June 14, 2021)</w:t>
        </w:r>
      </w:hyperlink>
    </w:p>
    <w:p>
      <w:pPr>
        <w:spacing w:after="0" w:line="1" w:lineRule="exact"/>
        <w:rPr>
          <w:sz w:val="20"/>
          <w:szCs w:val="20"/>
          <w:color w:val="auto"/>
        </w:rPr>
      </w:pPr>
    </w:p>
    <w:p>
      <w:pPr>
        <w:jc w:val="right"/>
        <w:ind w:left="240" w:right="660"/>
        <w:spacing w:after="0" w:line="281" w:lineRule="auto"/>
        <w:rPr>
          <w:rFonts w:ascii="Arial" w:cs="Arial" w:eastAsia="Arial" w:hAnsi="Arial"/>
          <w:sz w:val="16"/>
          <w:szCs w:val="16"/>
          <w:u w:val="single" w:color="auto"/>
          <w:color w:val="0000EE"/>
        </w:rPr>
      </w:pPr>
      <w:r>
        <w:rPr>
          <w:rFonts w:ascii="Arial" w:cs="Arial" w:eastAsia="Arial" w:hAnsi="Arial"/>
          <w:sz w:val="16"/>
          <w:szCs w:val="16"/>
          <w:color w:val="231F20"/>
        </w:rPr>
        <w:t xml:space="preserve">10.15#     </w:t>
      </w:r>
      <w:hyperlink r:id="rId213">
        <w:r>
          <w:rPr>
            <w:rFonts w:ascii="Arial" w:cs="Arial" w:eastAsia="Arial" w:hAnsi="Arial"/>
            <w:sz w:val="16"/>
            <w:szCs w:val="16"/>
            <w:u w:val="single" w:color="auto"/>
            <w:color w:val="0000EE"/>
          </w:rPr>
          <w:t>Separation and Release Agreement, dated June 13, 2021, between Lordstown Motors Corp. and Julio Rodriguez</w:t>
        </w:r>
      </w:hyperlink>
      <w:r>
        <w:rPr>
          <w:rFonts w:ascii="Arial" w:cs="Arial" w:eastAsia="Arial" w:hAnsi="Arial"/>
          <w:sz w:val="16"/>
          <w:szCs w:val="16"/>
          <w:color w:val="231F20"/>
        </w:rPr>
        <w:t xml:space="preserve"> </w:t>
      </w:r>
      <w:hyperlink r:id="rId213">
        <w:r>
          <w:rPr>
            <w:rFonts w:ascii="Arial" w:cs="Arial" w:eastAsia="Arial" w:hAnsi="Arial"/>
            <w:sz w:val="16"/>
            <w:szCs w:val="16"/>
            <w:u w:val="single" w:color="auto"/>
            <w:color w:val="0000EE"/>
          </w:rPr>
          <w:t>(incorporated by reference to the Company’s Current Report on Form 8-K, filed with the SEC on June 14, 2021)</w:t>
        </w:r>
      </w:hyperlink>
    </w:p>
    <w:p>
      <w:pPr>
        <w:spacing w:after="0" w:line="1" w:lineRule="exact"/>
        <w:rPr>
          <w:sz w:val="20"/>
          <w:szCs w:val="20"/>
          <w:color w:val="auto"/>
        </w:rPr>
      </w:pPr>
    </w:p>
    <w:p>
      <w:pPr>
        <w:ind w:left="1180" w:right="300" w:hanging="921"/>
        <w:spacing w:after="0" w:line="265"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231F20"/>
        </w:rPr>
        <w:t>10.16#</w:t>
      </w:r>
      <w:r>
        <w:rPr>
          <w:sz w:val="20"/>
          <w:szCs w:val="20"/>
          <w:color w:val="auto"/>
        </w:rPr>
        <w:tab/>
      </w:r>
      <w:hyperlink r:id="rId214">
        <w:r>
          <w:rPr>
            <w:rFonts w:ascii="Arial" w:cs="Arial" w:eastAsia="Arial" w:hAnsi="Arial"/>
            <w:sz w:val="17"/>
            <w:szCs w:val="17"/>
            <w:u w:val="single" w:color="auto"/>
            <w:color w:val="0000EE"/>
          </w:rPr>
          <w:t>Employment Agreement, dated June 18, 2021, between Lordstown Motors Corp. and Angela Strand (incorporated by</w:t>
        </w:r>
      </w:hyperlink>
      <w:r>
        <w:rPr>
          <w:rFonts w:ascii="Arial" w:cs="Arial" w:eastAsia="Arial" w:hAnsi="Arial"/>
          <w:sz w:val="17"/>
          <w:szCs w:val="17"/>
          <w:u w:val="single" w:color="auto"/>
          <w:color w:val="0000EE"/>
        </w:rPr>
        <w:t xml:space="preserve"> </w:t>
      </w:r>
      <w:hyperlink r:id="rId214">
        <w:r>
          <w:rPr>
            <w:rFonts w:ascii="Arial" w:cs="Arial" w:eastAsia="Arial" w:hAnsi="Arial"/>
            <w:sz w:val="17"/>
            <w:szCs w:val="17"/>
            <w:u w:val="single" w:color="auto"/>
            <w:color w:val="0000EE"/>
          </w:rPr>
          <w:t>reference to the Company’s Current Report on Form 8-K, filed with the SEC on June 24, 2021)</w:t>
        </w:r>
      </w:hyperlink>
    </w:p>
    <w:p>
      <w:pPr>
        <w:ind w:left="1180" w:right="100" w:hanging="921"/>
        <w:spacing w:after="0" w:line="265"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231F20"/>
        </w:rPr>
        <w:t>10.17#</w:t>
      </w:r>
      <w:r>
        <w:rPr>
          <w:sz w:val="20"/>
          <w:szCs w:val="20"/>
          <w:color w:val="auto"/>
        </w:rPr>
        <w:tab/>
      </w:r>
      <w:hyperlink r:id="rId215">
        <w:r>
          <w:rPr>
            <w:rFonts w:ascii="Arial" w:cs="Arial" w:eastAsia="Arial" w:hAnsi="Arial"/>
            <w:sz w:val="17"/>
            <w:szCs w:val="17"/>
            <w:u w:val="single" w:color="auto"/>
            <w:color w:val="0000EE"/>
          </w:rPr>
          <w:t>Employment Agreement, dated June 18, 2021, between Lordstown Motors Corp. and Jane Ritson-Parsons (incorporated</w:t>
        </w:r>
      </w:hyperlink>
      <w:r>
        <w:rPr>
          <w:rFonts w:ascii="Arial" w:cs="Arial" w:eastAsia="Arial" w:hAnsi="Arial"/>
          <w:sz w:val="17"/>
          <w:szCs w:val="17"/>
          <w:u w:val="single" w:color="auto"/>
          <w:color w:val="0000EE"/>
        </w:rPr>
        <w:t xml:space="preserve"> </w:t>
      </w:r>
      <w:hyperlink r:id="rId215">
        <w:r>
          <w:rPr>
            <w:rFonts w:ascii="Arial" w:cs="Arial" w:eastAsia="Arial" w:hAnsi="Arial"/>
            <w:sz w:val="17"/>
            <w:szCs w:val="17"/>
            <w:u w:val="single" w:color="auto"/>
            <w:color w:val="0000EE"/>
          </w:rPr>
          <w:t>by reference to the Company’s Current Report on Form 8-K, filed with the SEC on June 24, 2021)</w:t>
        </w:r>
      </w:hyperlink>
    </w:p>
    <w:p>
      <w:pPr>
        <w:ind w:left="1180" w:hanging="921"/>
        <w:spacing w:after="0" w:line="28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10.18#</w:t>
      </w:r>
      <w:r>
        <w:rPr>
          <w:sz w:val="20"/>
          <w:szCs w:val="20"/>
          <w:color w:val="auto"/>
        </w:rPr>
        <w:tab/>
      </w:r>
      <w:hyperlink r:id="rId216">
        <w:r>
          <w:rPr>
            <w:rFonts w:ascii="Arial" w:cs="Arial" w:eastAsia="Arial" w:hAnsi="Arial"/>
            <w:sz w:val="16"/>
            <w:szCs w:val="16"/>
            <w:u w:val="single" w:color="auto"/>
            <w:color w:val="0000EE"/>
          </w:rPr>
          <w:t>Amended and Restated Employment Agreement, dated June 18, 2021, between Lordstown Motors Corp. and Rich</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Schmidt (incorporated by reference to the Company’s Current Report on Form 8-K, filed with the SEC on June 24, 2021)</w:t>
        </w:r>
      </w:hyperlink>
    </w:p>
    <w:p>
      <w:pPr>
        <w:spacing w:after="0" w:line="1" w:lineRule="exact"/>
        <w:rPr>
          <w:sz w:val="20"/>
          <w:szCs w:val="20"/>
          <w:color w:val="auto"/>
        </w:rPr>
      </w:pPr>
    </w:p>
    <w:p>
      <w:pPr>
        <w:ind w:left="1180" w:right="280" w:hanging="921"/>
        <w:spacing w:after="0" w:line="28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10.19#</w:t>
      </w:r>
      <w:r>
        <w:rPr>
          <w:sz w:val="20"/>
          <w:szCs w:val="20"/>
          <w:color w:val="auto"/>
        </w:rPr>
        <w:tab/>
      </w:r>
      <w:hyperlink r:id="rId217">
        <w:r>
          <w:rPr>
            <w:rFonts w:ascii="Arial" w:cs="Arial" w:eastAsia="Arial" w:hAnsi="Arial"/>
            <w:sz w:val="16"/>
            <w:szCs w:val="16"/>
            <w:u w:val="single" w:color="auto"/>
            <w:color w:val="0000EE"/>
          </w:rPr>
          <w:t>Management Services Agreement, dated as of June 8, 2021, between AP Services, LLC and Lordstown Motors Corp.</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(incorporated by reference to the Company’s Current Report on Form 8-K, filed with the SEC on June 14, 2021)</w:t>
        </w:r>
      </w:hyperlink>
    </w:p>
    <w:p>
      <w:pPr>
        <w:spacing w:after="0" w:line="1" w:lineRule="exact"/>
        <w:rPr>
          <w:sz w:val="20"/>
          <w:szCs w:val="20"/>
          <w:color w:val="auto"/>
        </w:rPr>
      </w:pPr>
    </w:p>
    <w:p>
      <w:pPr>
        <w:ind w:left="1180" w:right="200" w:hanging="921"/>
        <w:spacing w:after="0" w:line="250"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231F20"/>
        </w:rPr>
        <w:t>10.20#</w:t>
      </w:r>
      <w:r>
        <w:rPr>
          <w:sz w:val="20"/>
          <w:szCs w:val="20"/>
          <w:color w:val="auto"/>
        </w:rPr>
        <w:tab/>
      </w:r>
      <w:hyperlink r:id="rId218">
        <w:r>
          <w:rPr>
            <w:rFonts w:ascii="Arial" w:cs="Arial" w:eastAsia="Arial" w:hAnsi="Arial"/>
            <w:sz w:val="18"/>
            <w:szCs w:val="18"/>
            <w:u w:val="single" w:color="auto"/>
            <w:color w:val="0000EE"/>
          </w:rPr>
          <w:t>Employment Agreement, dated August 26, 2021, between Lordstown Motors Corp. and Daniel Ninivaggi, as amended</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by Amendment to Employment Agreement, dated November 9, 2021 (incorporated by reference to the Company’s</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Current Report on Form 8-K, filed with the SEC on November 10, 2021)</w:t>
        </w:r>
      </w:hyperlink>
    </w:p>
    <w:p>
      <w:pPr>
        <w:spacing w:after="0" w:line="1" w:lineRule="exact"/>
        <w:rPr>
          <w:rFonts w:ascii="Arial" w:cs="Arial" w:eastAsia="Arial" w:hAnsi="Arial"/>
          <w:sz w:val="18"/>
          <w:szCs w:val="18"/>
          <w:u w:val="single" w:color="auto"/>
          <w:color w:val="0000EE"/>
        </w:rPr>
      </w:pPr>
    </w:p>
    <w:p>
      <w:pPr>
        <w:ind w:left="1180" w:right="220" w:hanging="921"/>
        <w:spacing w:after="0" w:line="28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10.21#</w:t>
      </w:r>
      <w:r>
        <w:rPr>
          <w:sz w:val="20"/>
          <w:szCs w:val="20"/>
          <w:color w:val="auto"/>
        </w:rPr>
        <w:tab/>
      </w:r>
      <w:hyperlink r:id="rId219">
        <w:r>
          <w:rPr>
            <w:rFonts w:ascii="Arial" w:cs="Arial" w:eastAsia="Arial" w:hAnsi="Arial"/>
            <w:sz w:val="16"/>
            <w:szCs w:val="16"/>
            <w:u w:val="single" w:color="auto"/>
            <w:color w:val="0000EE"/>
          </w:rPr>
          <w:t>Employment Agreement, dated October 13, 2021, between Lordstown Motors Corp. and Adam Kroll (incorporated by</w:t>
        </w:r>
      </w:hyperlink>
      <w:r>
        <w:rPr>
          <w:rFonts w:ascii="Arial" w:cs="Arial" w:eastAsia="Arial" w:hAnsi="Arial"/>
          <w:sz w:val="16"/>
          <w:szCs w:val="16"/>
          <w:u w:val="single" w:color="auto"/>
          <w:color w:val="0000EE"/>
        </w:rPr>
        <w:t xml:space="preserve"> </w:t>
      </w:r>
      <w:hyperlink r:id="rId219">
        <w:r>
          <w:rPr>
            <w:rFonts w:ascii="Arial" w:cs="Arial" w:eastAsia="Arial" w:hAnsi="Arial"/>
            <w:sz w:val="16"/>
            <w:szCs w:val="16"/>
            <w:u w:val="single" w:color="auto"/>
            <w:color w:val="0000EE"/>
          </w:rPr>
          <w:t>reference to the Company’s Current Report on Form 8-K, filed with the SEC on October 13, 2021)</w:t>
        </w:r>
      </w:hyperlink>
    </w:p>
    <w:p>
      <w:pPr>
        <w:spacing w:after="0" w:line="1" w:lineRule="exact"/>
        <w:rPr>
          <w:sz w:val="20"/>
          <w:szCs w:val="20"/>
          <w:color w:val="auto"/>
        </w:rPr>
      </w:pPr>
    </w:p>
    <w:p>
      <w:pPr>
        <w:ind w:left="1180" w:right="220" w:hanging="921"/>
        <w:spacing w:after="0" w:line="28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10.22#</w:t>
      </w:r>
      <w:r>
        <w:rPr>
          <w:sz w:val="20"/>
          <w:szCs w:val="20"/>
          <w:color w:val="auto"/>
        </w:rPr>
        <w:tab/>
      </w:r>
      <w:hyperlink r:id="rId220">
        <w:r>
          <w:rPr>
            <w:rFonts w:ascii="Arial" w:cs="Arial" w:eastAsia="Arial" w:hAnsi="Arial"/>
            <w:sz w:val="16"/>
            <w:szCs w:val="16"/>
            <w:u w:val="single" w:color="auto"/>
            <w:color w:val="0000EE"/>
          </w:rPr>
          <w:t>Employment Agreement, dated November 9, 2021, between Lordstown Motors Corp. and Edward T. Hightower</w:t>
        </w:r>
      </w:hyperlink>
      <w:r>
        <w:rPr>
          <w:rFonts w:ascii="Arial" w:cs="Arial" w:eastAsia="Arial" w:hAnsi="Arial"/>
          <w:sz w:val="16"/>
          <w:szCs w:val="16"/>
          <w:u w:val="single" w:color="auto"/>
          <w:color w:val="0000EE"/>
        </w:rPr>
        <w:t xml:space="preserve"> </w:t>
      </w:r>
      <w:hyperlink r:id="rId220">
        <w:r>
          <w:rPr>
            <w:rFonts w:ascii="Arial" w:cs="Arial" w:eastAsia="Arial" w:hAnsi="Arial"/>
            <w:sz w:val="16"/>
            <w:szCs w:val="16"/>
            <w:u w:val="single" w:color="auto"/>
            <w:color w:val="0000EE"/>
          </w:rPr>
          <w:t>(incorporated by reference to the Company’s Current Report on Form 8-K, filed with the SEC on November 10, 2021)</w:t>
        </w:r>
      </w:hyperlink>
    </w:p>
    <w:p>
      <w:pPr>
        <w:spacing w:after="0" w:line="1" w:lineRule="exact"/>
        <w:rPr>
          <w:sz w:val="20"/>
          <w:szCs w:val="20"/>
          <w:color w:val="auto"/>
        </w:rPr>
      </w:pPr>
    </w:p>
    <w:p>
      <w:pPr>
        <w:ind w:left="1180" w:right="200" w:hanging="921"/>
        <w:spacing w:after="0" w:line="28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10.23#</w:t>
      </w:r>
      <w:r>
        <w:rPr>
          <w:sz w:val="20"/>
          <w:szCs w:val="20"/>
          <w:color w:val="auto"/>
        </w:rPr>
        <w:tab/>
      </w:r>
      <w:hyperlink r:id="rId221">
        <w:r>
          <w:rPr>
            <w:rFonts w:ascii="Arial" w:cs="Arial" w:eastAsia="Arial" w:hAnsi="Arial"/>
            <w:sz w:val="16"/>
            <w:szCs w:val="16"/>
            <w:u w:val="single" w:color="auto"/>
            <w:color w:val="0000EE"/>
          </w:rPr>
          <w:t>Employment Agreement, dated January 1, 2022, between Lordstown Motors Corp. and Melissa Leonard (incorporated</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by reference to the Company’s Annual Report on Form 10-K, filed with the SEC on February 28, 2022)</w:t>
        </w:r>
      </w:hyperlink>
    </w:p>
    <w:p>
      <w:pPr>
        <w:spacing w:after="0" w:line="1" w:lineRule="exact"/>
        <w:rPr>
          <w:sz w:val="20"/>
          <w:szCs w:val="20"/>
          <w:color w:val="auto"/>
        </w:rPr>
      </w:pPr>
    </w:p>
    <w:p>
      <w:pPr>
        <w:jc w:val="both"/>
        <w:ind w:left="1180" w:right="60" w:hanging="876"/>
        <w:spacing w:after="0" w:line="250"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231F20"/>
        </w:rPr>
        <w:t>10.24</w:t>
      </w:r>
      <w:r>
        <w:rPr>
          <w:sz w:val="20"/>
          <w:szCs w:val="20"/>
          <w:color w:val="auto"/>
        </w:rPr>
        <w:tab/>
      </w:r>
      <w:hyperlink r:id="rId222">
        <w:r>
          <w:rPr>
            <w:rFonts w:ascii="Arial" w:cs="Arial" w:eastAsia="Arial" w:hAnsi="Arial"/>
            <w:sz w:val="18"/>
            <w:szCs w:val="18"/>
            <w:u w:val="single" w:color="auto"/>
            <w:color w:val="0000EE"/>
          </w:rPr>
          <w:t>Intellectual Property License Agreement, between Workhorse Group Inc. and Lordstown Motors Corp., dated November</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7, 2019 (incorporated by reference to the Annual Report on Form 10-K of Workhorse Group, Inc., filed with the SEC on</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March 13, 2020)</w:t>
        </w:r>
      </w:hyperlink>
    </w:p>
    <w:p>
      <w:pPr>
        <w:spacing w:after="0" w:line="1" w:lineRule="exact"/>
        <w:rPr>
          <w:rFonts w:ascii="Arial" w:cs="Arial" w:eastAsia="Arial" w:hAnsi="Arial"/>
          <w:sz w:val="18"/>
          <w:szCs w:val="18"/>
          <w:u w:val="single" w:color="auto"/>
          <w:color w:val="0000EE"/>
        </w:rPr>
      </w:pPr>
    </w:p>
    <w:p>
      <w:pPr>
        <w:ind w:left="1180" w:right="640" w:hanging="876"/>
        <w:spacing w:after="0" w:line="28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231F20"/>
        </w:rPr>
        <w:t>10.25</w:t>
      </w:r>
      <w:r>
        <w:rPr>
          <w:sz w:val="20"/>
          <w:szCs w:val="20"/>
          <w:color w:val="auto"/>
        </w:rPr>
        <w:tab/>
      </w:r>
      <w:hyperlink r:id="rId223">
        <w:r>
          <w:rPr>
            <w:rFonts w:ascii="Arial" w:cs="Arial" w:eastAsia="Arial" w:hAnsi="Arial"/>
            <w:sz w:val="16"/>
            <w:szCs w:val="16"/>
            <w:u w:val="single" w:color="auto"/>
            <w:color w:val="0000EE"/>
          </w:rPr>
          <w:t>Agreement between Workhorse Group Inc. and Lordstown Motors Corp., dated August 1, 2020 (incorporated by</w:t>
        </w:r>
      </w:hyperlink>
      <w:r>
        <w:rPr>
          <w:rFonts w:ascii="Arial" w:cs="Arial" w:eastAsia="Arial" w:hAnsi="Arial"/>
          <w:sz w:val="16"/>
          <w:szCs w:val="16"/>
          <w:u w:val="single" w:color="auto"/>
          <w:color w:val="0000EE"/>
        </w:rPr>
        <w:t xml:space="preserve"> </w:t>
      </w:r>
      <w:hyperlink r:id="rId223">
        <w:r>
          <w:rPr>
            <w:rFonts w:ascii="Arial" w:cs="Arial" w:eastAsia="Arial" w:hAnsi="Arial"/>
            <w:sz w:val="16"/>
            <w:szCs w:val="16"/>
            <w:u w:val="single" w:color="auto"/>
            <w:color w:val="0000EE"/>
          </w:rPr>
          <w:t>reference to the Current Report on Form 8-K of Workhorse Group, Inc., filed with the SEC on August 4, 2020)</w:t>
        </w:r>
      </w:hyperlink>
    </w:p>
    <w:p>
      <w:pPr>
        <w:spacing w:after="0" w:line="1" w:lineRule="exact"/>
        <w:rPr>
          <w:sz w:val="20"/>
          <w:szCs w:val="20"/>
          <w:color w:val="auto"/>
        </w:rPr>
      </w:pPr>
    </w:p>
    <w:p>
      <w:pPr>
        <w:jc w:val="both"/>
        <w:ind w:left="1180" w:right="200" w:hanging="876"/>
        <w:spacing w:after="0" w:line="250"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231F20"/>
        </w:rPr>
        <w:t>10.26</w:t>
      </w:r>
      <w:r>
        <w:rPr>
          <w:sz w:val="20"/>
          <w:szCs w:val="20"/>
          <w:color w:val="auto"/>
        </w:rPr>
        <w:tab/>
      </w:r>
      <w:hyperlink r:id="rId224">
        <w:r>
          <w:rPr>
            <w:rFonts w:ascii="Arial" w:cs="Arial" w:eastAsia="Arial" w:hAnsi="Arial"/>
            <w:sz w:val="18"/>
            <w:szCs w:val="18"/>
            <w:u w:val="single" w:color="auto"/>
            <w:color w:val="0000EE"/>
          </w:rPr>
          <w:t>License Agreement, between Elaphe Propulsion Technologies Ltd. and Lordstown Motors Corp., as amended by First</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Amendment, dated July 21, 2020 (incorporated by reference to the Company’s Current Report on Form 8-K, filed with</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the SEC on October 29, 2020)</w:t>
        </w:r>
      </w:hyperlink>
    </w:p>
    <w:p>
      <w:pPr>
        <w:spacing w:after="0" w:line="1" w:lineRule="exact"/>
        <w:rPr>
          <w:rFonts w:ascii="Arial" w:cs="Arial" w:eastAsia="Arial" w:hAnsi="Arial"/>
          <w:sz w:val="18"/>
          <w:szCs w:val="18"/>
          <w:u w:val="single" w:color="auto"/>
          <w:color w:val="0000EE"/>
        </w:rPr>
      </w:pPr>
    </w:p>
    <w:p>
      <w:pPr>
        <w:ind w:left="1180" w:right="300" w:hanging="876"/>
        <w:spacing w:after="0" w:line="250"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231F20"/>
        </w:rPr>
        <w:t>10.27</w:t>
      </w:r>
      <w:r>
        <w:rPr>
          <w:sz w:val="20"/>
          <w:szCs w:val="20"/>
          <w:color w:val="auto"/>
        </w:rPr>
        <w:tab/>
      </w:r>
      <w:hyperlink r:id="rId225">
        <w:r>
          <w:rPr>
            <w:rFonts w:ascii="Arial" w:cs="Arial" w:eastAsia="Arial" w:hAnsi="Arial"/>
            <w:sz w:val="18"/>
            <w:szCs w:val="18"/>
            <w:u w:val="single" w:color="auto"/>
            <w:color w:val="0000EE"/>
          </w:rPr>
          <w:t>Facilities and Support Agreement, between Elaphe Propulsion Technologies Ltd. and Lordstown Motors Corp., dated</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March 16, 2020 (incorporated by reference to the Company’s Current Report on Form 8-K, filed with the SEC on</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October 29, 2020)</w:t>
        </w:r>
      </w:hyperlink>
    </w:p>
    <w:p>
      <w:pPr>
        <w:spacing w:after="0" w:line="1" w:lineRule="exact"/>
        <w:rPr>
          <w:rFonts w:ascii="Arial" w:cs="Arial" w:eastAsia="Arial" w:hAnsi="Arial"/>
          <w:sz w:val="18"/>
          <w:szCs w:val="18"/>
          <w:u w:val="single" w:color="auto"/>
          <w:color w:val="0000EE"/>
        </w:rPr>
      </w:pPr>
    </w:p>
    <w:p>
      <w:pPr>
        <w:jc w:val="both"/>
        <w:ind w:left="1180" w:right="240" w:hanging="876"/>
        <w:spacing w:after="0" w:line="265"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231F20"/>
        </w:rPr>
        <w:t>10.28</w:t>
      </w:r>
      <w:r>
        <w:rPr>
          <w:sz w:val="20"/>
          <w:szCs w:val="20"/>
          <w:color w:val="auto"/>
        </w:rPr>
        <w:tab/>
      </w:r>
      <w:hyperlink r:id="rId226">
        <w:r>
          <w:rPr>
            <w:rFonts w:ascii="Arial" w:cs="Arial" w:eastAsia="Arial" w:hAnsi="Arial"/>
            <w:sz w:val="17"/>
            <w:szCs w:val="17"/>
            <w:u w:val="single" w:color="auto"/>
            <w:color w:val="0000EE"/>
          </w:rPr>
          <w:t>Asset Transfer Agreement, dated November 7, 2019, between Lordstown Motors Corp. and General Motors LLC, and</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amended by that certain Amendment to Asset Purchase Agreement, dated May 28, 2020 (incorporated by reference to</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the Company’s Current Report on Form 8-K, filed with the SEC on October 29, 2020)</w:t>
        </w:r>
      </w:hyperlink>
    </w:p>
    <w:p>
      <w:pPr>
        <w:ind w:left="1180" w:right="200" w:hanging="876"/>
        <w:spacing w:after="0" w:line="250"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231F20"/>
        </w:rPr>
        <w:t>10.29</w:t>
      </w:r>
      <w:r>
        <w:rPr>
          <w:sz w:val="20"/>
          <w:szCs w:val="20"/>
          <w:color w:val="auto"/>
        </w:rPr>
        <w:tab/>
      </w:r>
      <w:hyperlink r:id="rId227">
        <w:r>
          <w:rPr>
            <w:rFonts w:ascii="Arial" w:cs="Arial" w:eastAsia="Arial" w:hAnsi="Arial"/>
            <w:sz w:val="18"/>
            <w:szCs w:val="18"/>
            <w:u w:val="single" w:color="auto"/>
            <w:color w:val="0000EE"/>
          </w:rPr>
          <w:t>Omnibus Agreement, dated July 31, 2020, by and among General Motors LLC, GM EV Holdings LLC, Lordstown</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Motors Corp., and DiamondPeak (incorporated by reference to the Company’s Current Report on Form 8-K, filed with</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the SEC on October 29, 2020)</w:t>
        </w:r>
      </w:hyperlink>
    </w:p>
    <w:p>
      <w:pPr>
        <w:spacing w:after="0" w:line="1" w:lineRule="exact"/>
        <w:rPr>
          <w:rFonts w:ascii="Arial" w:cs="Arial" w:eastAsia="Arial" w:hAnsi="Arial"/>
          <w:sz w:val="18"/>
          <w:szCs w:val="18"/>
          <w:u w:val="single" w:color="auto"/>
          <w:color w:val="0000EE"/>
        </w:rPr>
      </w:pPr>
    </w:p>
    <w:p>
      <w:pPr>
        <w:ind w:left="1180" w:right="200" w:hanging="876"/>
        <w:spacing w:after="0" w:line="290"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231F20"/>
        </w:rPr>
        <w:t>10.30</w:t>
      </w:r>
      <w:r>
        <w:rPr>
          <w:sz w:val="20"/>
          <w:szCs w:val="20"/>
          <w:color w:val="auto"/>
        </w:rPr>
        <w:tab/>
      </w:r>
      <w:hyperlink r:id="rId228">
        <w:r>
          <w:rPr>
            <w:rFonts w:ascii="Arial" w:cs="Arial" w:eastAsia="Arial" w:hAnsi="Arial"/>
            <w:sz w:val="17"/>
            <w:szCs w:val="17"/>
            <w:u w:val="single" w:color="auto"/>
            <w:color w:val="0000EE"/>
          </w:rPr>
          <w:t>Equity Purchase Agreement, dated July 23, 2021, between Lordstown Motors Corp. and YA II PN, LTD. (incorporated</w:t>
        </w:r>
      </w:hyperlink>
      <w:r>
        <w:rPr>
          <w:rFonts w:ascii="Arial" w:cs="Arial" w:eastAsia="Arial" w:hAnsi="Arial"/>
          <w:sz w:val="17"/>
          <w:szCs w:val="17"/>
          <w:u w:val="single" w:color="auto"/>
          <w:color w:val="0000EE"/>
        </w:rPr>
        <w:t xml:space="preserve"> </w:t>
      </w:r>
      <w:hyperlink r:id="rId228">
        <w:r>
          <w:rPr>
            <w:rFonts w:ascii="Arial" w:cs="Arial" w:eastAsia="Arial" w:hAnsi="Arial"/>
            <w:sz w:val="17"/>
            <w:szCs w:val="17"/>
            <w:u w:val="single" w:color="auto"/>
            <w:color w:val="0000EE"/>
          </w:rPr>
          <w:t>by reference to the Company’s Current Report on Form 8-K, filed with the SEC on July 26, 2021)</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jc w:val="center"/>
              <w:spacing w:after="0"/>
              <w:rPr>
                <w:sz w:val="20"/>
                <w:szCs w:val="20"/>
                <w:color w:val="auto"/>
              </w:rPr>
            </w:pPr>
            <w:r>
              <w:rPr>
                <w:rFonts w:ascii="Arial" w:cs="Arial" w:eastAsia="Arial" w:hAnsi="Arial"/>
                <w:sz w:val="14"/>
                <w:szCs w:val="14"/>
                <w:b w:val="1"/>
                <w:bCs w:val="1"/>
                <w:color w:val="231F20"/>
                <w:w w:val="98"/>
              </w:rPr>
              <w:t>Exhibit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7"/>
              </w:rPr>
              <w:t>No.</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231F20"/>
              </w:rPr>
              <w:t>Description</w:t>
            </w:r>
          </w:p>
        </w:tc>
      </w:tr>
      <w:tr>
        <w:trPr>
          <w:trHeight w:val="169"/>
        </w:trPr>
        <w:tc>
          <w:tcPr>
            <w:tcW w:w="980" w:type="dxa"/>
            <w:vAlign w:val="bottom"/>
          </w:tcPr>
          <w:p>
            <w:pPr>
              <w:jc w:val="center"/>
              <w:spacing w:after="0" w:line="169" w:lineRule="exact"/>
              <w:rPr>
                <w:sz w:val="20"/>
                <w:szCs w:val="20"/>
                <w:color w:val="auto"/>
              </w:rPr>
            </w:pPr>
            <w:r>
              <w:rPr>
                <w:rFonts w:ascii="Arial" w:cs="Arial" w:eastAsia="Arial" w:hAnsi="Arial"/>
                <w:sz w:val="18"/>
                <w:szCs w:val="18"/>
                <w:color w:val="231F20"/>
                <w:w w:val="88"/>
              </w:rPr>
              <w:t>10.31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620" w:type="dxa"/>
            <w:vAlign w:val="bottom"/>
            <w:tcBorders>
              <w:bottom w:val="single" w:sz="8" w:color="0000EE"/>
            </w:tcBorders>
            <w:gridSpan w:val="8"/>
          </w:tcPr>
          <w:p>
            <w:pPr>
              <w:spacing w:after="0" w:line="169" w:lineRule="exact"/>
              <w:rPr>
                <w:rFonts w:ascii="Arial" w:cs="Arial" w:eastAsia="Arial" w:hAnsi="Arial"/>
                <w:sz w:val="18"/>
                <w:szCs w:val="18"/>
                <w:color w:val="0000EE"/>
                <w:w w:val="89"/>
              </w:rPr>
            </w:pPr>
            <w:hyperlink r:id="rId230">
              <w:r>
                <w:rPr>
                  <w:rFonts w:ascii="Arial" w:cs="Arial" w:eastAsia="Arial" w:hAnsi="Arial"/>
                  <w:sz w:val="18"/>
                  <w:szCs w:val="18"/>
                  <w:color w:val="0000EE"/>
                  <w:w w:val="89"/>
                </w:rPr>
                <w:t>Asset Purchase Agreement, dated November 10, 2021, between Lordstown Motors Corp. and Foxconn (incorporated by</w:t>
              </w:r>
            </w:hyperlink>
          </w:p>
        </w:tc>
        <w:tc>
          <w:tcPr>
            <w:tcW w:w="100" w:type="dxa"/>
            <w:vAlign w:val="bottom"/>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reference to the Company’s Current Report on Form 8-K filed with the SEC on November 10, 2021)</w:t>
              </w:r>
            </w:hyperlink>
          </w:p>
        </w:tc>
        <w:tc>
          <w:tcPr>
            <w:tcW w:w="150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1"/>
              </w:rPr>
              <w:t>16.1</w:t>
            </w:r>
          </w:p>
        </w:tc>
        <w:tc>
          <w:tcPr>
            <w:tcW w:w="200" w:type="dxa"/>
            <w:vAlign w:val="bottom"/>
          </w:tcPr>
          <w:p>
            <w:pPr>
              <w:spacing w:after="0"/>
              <w:rPr>
                <w:sz w:val="17"/>
                <w:szCs w:val="17"/>
                <w:color w:val="auto"/>
              </w:rPr>
            </w:pPr>
          </w:p>
        </w:tc>
        <w:tc>
          <w:tcPr>
            <w:tcW w:w="8740" w:type="dxa"/>
            <w:vAlign w:val="bottom"/>
            <w:gridSpan w:val="10"/>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Letter from WithumSmith+Brown, PC to the SEC, dated October 28, 2020 (incorporated by reference to the Company’s</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Current Report on Form 8-K, filed with the SEC on October 29, 2020)</w:t>
              </w:r>
            </w:hyperlink>
          </w:p>
        </w:tc>
        <w:tc>
          <w:tcPr>
            <w:tcW w:w="1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1"/>
              </w:rPr>
              <w:t>21.1</w:t>
            </w:r>
          </w:p>
        </w:tc>
        <w:tc>
          <w:tcPr>
            <w:tcW w:w="200" w:type="dxa"/>
            <w:vAlign w:val="bottom"/>
          </w:tcPr>
          <w:p>
            <w:pPr>
              <w:spacing w:after="0"/>
              <w:rPr>
                <w:sz w:val="17"/>
                <w:szCs w:val="17"/>
                <w:color w:val="auto"/>
              </w:rPr>
            </w:pPr>
          </w:p>
        </w:tc>
        <w:tc>
          <w:tcPr>
            <w:tcW w:w="8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List of Subsidiaries (incorporated by reference to the Company’s Annual Report on Form 10-K, filed with the SEC on</w:t>
              </w:r>
            </w:hyperlink>
          </w:p>
        </w:tc>
        <w:tc>
          <w:tcPr>
            <w:tcW w:w="2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32">
              <w:r>
                <w:rPr>
                  <w:rFonts w:ascii="Arial" w:cs="Arial" w:eastAsia="Arial" w:hAnsi="Arial"/>
                  <w:sz w:val="18"/>
                  <w:szCs w:val="18"/>
                  <w:color w:val="0000EE"/>
                  <w:w w:val="88"/>
                </w:rPr>
                <w:t>February 28, 2022)</w:t>
              </w:r>
            </w:hyperlink>
          </w:p>
        </w:tc>
        <w:tc>
          <w:tcPr>
            <w:tcW w:w="736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5"/>
              </w:rPr>
              <w:t>23.1*</w:t>
            </w:r>
          </w:p>
        </w:tc>
        <w:tc>
          <w:tcPr>
            <w:tcW w:w="200" w:type="dxa"/>
            <w:vAlign w:val="bottom"/>
          </w:tcPr>
          <w:p>
            <w:pPr>
              <w:spacing w:after="0"/>
              <w:rPr>
                <w:sz w:val="17"/>
                <w:szCs w:val="17"/>
                <w:color w:val="auto"/>
              </w:rPr>
            </w:pPr>
          </w:p>
        </w:tc>
        <w:tc>
          <w:tcPr>
            <w:tcW w:w="8740" w:type="dxa"/>
            <w:vAlign w:val="bottom"/>
            <w:gridSpan w:val="10"/>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Consent of KPMG LLP, independent registered accounting firm.</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5"/>
              </w:rPr>
              <w:t>23.2*</w:t>
            </w:r>
          </w:p>
        </w:tc>
        <w:tc>
          <w:tcPr>
            <w:tcW w:w="200" w:type="dxa"/>
            <w:vAlign w:val="bottom"/>
          </w:tcPr>
          <w:p>
            <w:pPr>
              <w:spacing w:after="0"/>
              <w:rPr>
                <w:sz w:val="17"/>
                <w:szCs w:val="17"/>
                <w:color w:val="auto"/>
              </w:rPr>
            </w:pPr>
          </w:p>
        </w:tc>
        <w:tc>
          <w:tcPr>
            <w:tcW w:w="65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Consent of Clark, Schaefer, Hackett &amp; Co Independent Registered Public Accounting Firm</w:t>
              </w:r>
            </w:hyperlink>
          </w:p>
        </w:tc>
        <w:tc>
          <w:tcPr>
            <w:tcW w:w="218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231F20"/>
                <w:w w:val="95"/>
              </w:rPr>
              <w:t>24.1*</w:t>
            </w:r>
          </w:p>
        </w:tc>
        <w:tc>
          <w:tcPr>
            <w:tcW w:w="200" w:type="dxa"/>
            <w:vAlign w:val="bottom"/>
          </w:tcPr>
          <w:p>
            <w:pPr>
              <w:spacing w:after="0"/>
              <w:rPr>
                <w:sz w:val="17"/>
                <w:szCs w:val="17"/>
                <w:color w:val="auto"/>
              </w:rPr>
            </w:pPr>
          </w:p>
        </w:tc>
        <w:tc>
          <w:tcPr>
            <w:tcW w:w="8740" w:type="dxa"/>
            <w:vAlign w:val="bottom"/>
            <w:gridSpan w:val="1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Power of Attorney (included on signature page hereto)</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r>
      <w:tr>
        <w:trPr>
          <w:trHeight w:val="222"/>
        </w:trPr>
        <w:tc>
          <w:tcPr>
            <w:tcW w:w="980" w:type="dxa"/>
            <w:vAlign w:val="bottom"/>
          </w:tcPr>
          <w:p>
            <w:pPr>
              <w:jc w:val="center"/>
              <w:spacing w:after="0"/>
              <w:rPr>
                <w:sz w:val="20"/>
                <w:szCs w:val="20"/>
                <w:color w:val="auto"/>
              </w:rPr>
            </w:pPr>
            <w:r>
              <w:rPr>
                <w:rFonts w:ascii="Arial" w:cs="Arial" w:eastAsia="Arial" w:hAnsi="Arial"/>
                <w:sz w:val="18"/>
                <w:szCs w:val="18"/>
                <w:color w:val="231F20"/>
                <w:w w:val="97"/>
              </w:rPr>
              <w:t>101.INS*</w:t>
            </w:r>
          </w:p>
        </w:tc>
        <w:tc>
          <w:tcPr>
            <w:tcW w:w="200" w:type="dxa"/>
            <w:vAlign w:val="bottom"/>
          </w:tcPr>
          <w:p>
            <w:pPr>
              <w:spacing w:after="0"/>
              <w:rPr>
                <w:sz w:val="19"/>
                <w:szCs w:val="19"/>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w w:val="92"/>
              </w:rPr>
              <w:t>XBRL Instance Document – the instance document does not appear in the Interactive Data File because its XBRL tags</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are embedded within the Inline XBRL document</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231F20"/>
                <w:w w:val="94"/>
              </w:rPr>
              <w:t>101.SCH*</w:t>
            </w: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XBRL Taxonomy Extension Schema Document</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231F20"/>
                <w:w w:val="98"/>
              </w:rPr>
              <w:t>101.CAL*</w:t>
            </w: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231F20"/>
                <w:w w:val="94"/>
              </w:rPr>
              <w:t>101.DEF*</w:t>
            </w: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XBRL Taxonomy Extension Definition Linkbase Document</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231F20"/>
                <w:w w:val="99"/>
              </w:rPr>
              <w:t>101.LAB*</w:t>
            </w: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XBRL Taxonomy Extension Label Linkbase Document</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231F20"/>
                <w:w w:val="93"/>
              </w:rPr>
              <w:t>101.PRE*</w:t>
            </w: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XBRL Taxonomy Extension Presentation Linkbase Document</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231F20"/>
                <w:w w:val="97"/>
              </w:rPr>
              <w:t>Exhibit 104*</w:t>
            </w:r>
          </w:p>
        </w:tc>
        <w:tc>
          <w:tcPr>
            <w:tcW w:w="200" w:type="dxa"/>
            <w:vAlign w:val="bottom"/>
          </w:tcPr>
          <w:p>
            <w:pPr>
              <w:spacing w:after="0"/>
              <w:rPr>
                <w:sz w:val="18"/>
                <w:szCs w:val="18"/>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w w:val="95"/>
              </w:rPr>
              <w:t>Cover Page Interactive Data File – The cover page interactive data file does not appear in the Interactive Data File</w:t>
            </w: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40" w:type="dxa"/>
            <w:vAlign w:val="bottom"/>
            <w:gridSpan w:val="10"/>
          </w:tcPr>
          <w:p>
            <w:pPr>
              <w:spacing w:after="0"/>
              <w:rPr>
                <w:sz w:val="20"/>
                <w:szCs w:val="20"/>
                <w:color w:val="auto"/>
              </w:rPr>
            </w:pPr>
            <w:r>
              <w:rPr>
                <w:rFonts w:ascii="Arial" w:cs="Arial" w:eastAsia="Arial" w:hAnsi="Arial"/>
                <w:sz w:val="18"/>
                <w:szCs w:val="18"/>
                <w:color w:val="231F20"/>
              </w:rPr>
              <w:t>because its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2" w:lineRule="exact"/>
        <w:rPr>
          <w:sz w:val="20"/>
          <w:szCs w:val="20"/>
          <w:color w:val="auto"/>
        </w:rPr>
      </w:pPr>
    </w:p>
    <w:p>
      <w:pPr>
        <w:ind w:left="340" w:right="560" w:hanging="332"/>
        <w:spacing w:after="0" w:line="277" w:lineRule="auto"/>
        <w:tabs>
          <w:tab w:leader="none" w:pos="34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The schedules and exhibits to this agreement have been omitted pursuant to Item 601(b)(2) of Regulation S-K. A copy of any omitted schedule and/or exhibit will be furnished to the SEC upon request.</w:t>
      </w:r>
    </w:p>
    <w:p>
      <w:pPr>
        <w:spacing w:after="0" w:line="170" w:lineRule="exact"/>
        <w:rPr>
          <w:sz w:val="20"/>
          <w:szCs w:val="20"/>
          <w:color w:val="auto"/>
        </w:rPr>
      </w:pPr>
    </w:p>
    <w:p>
      <w:pPr>
        <w:ind w:right="4560" w:firstLine="8"/>
        <w:spacing w:after="0" w:line="498" w:lineRule="auto"/>
        <w:tabs>
          <w:tab w:leader="none" w:pos="324"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Indicates management contract or compensatory plan or arrangement. *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The undersigned registrant hereby undertakes: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1"/>
          <w:numId w:val="68"/>
        </w:numPr>
        <w:rPr>
          <w:rFonts w:ascii="Arial" w:cs="Arial" w:eastAsia="Arial" w:hAnsi="Arial"/>
          <w:sz w:val="16"/>
          <w:szCs w:val="16"/>
          <w:color w:val="231F20"/>
        </w:rPr>
      </w:pPr>
      <w:r>
        <w:rPr>
          <w:rFonts w:ascii="Arial" w:cs="Arial" w:eastAsia="Arial" w:hAnsi="Arial"/>
          <w:sz w:val="16"/>
          <w:szCs w:val="16"/>
          <w:color w:val="231F20"/>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231F20"/>
        </w:rPr>
      </w:pPr>
    </w:p>
    <w:p>
      <w:pPr>
        <w:ind w:left="1000" w:hanging="317"/>
        <w:spacing w:after="0"/>
        <w:tabs>
          <w:tab w:leader="none" w:pos="10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00" w:right="80" w:hanging="317"/>
        <w:spacing w:after="0" w:line="271" w:lineRule="auto"/>
        <w:tabs>
          <w:tab w:leader="none" w:pos="1000" w:val="left"/>
        </w:tabs>
        <w:numPr>
          <w:ilvl w:val="2"/>
          <w:numId w:val="6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1000" w:right="460" w:hanging="317"/>
        <w:spacing w:after="0" w:line="277" w:lineRule="auto"/>
        <w:tabs>
          <w:tab w:leader="none" w:pos="10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i w:val="1"/>
          <w:iCs w:val="1"/>
          <w:color w:val="231F20"/>
        </w:rPr>
        <w:t>provided, however</w:t>
      </w:r>
      <w:r>
        <w:rPr>
          <w:rFonts w:ascii="Arial" w:cs="Arial" w:eastAsia="Arial" w:hAnsi="Arial"/>
          <w:sz w:val="18"/>
          <w:szCs w:val="18"/>
          <w:color w:val="231F20"/>
        </w:rPr>
        <w:t>, that: Paragraphs (a)(1)(i), (a)(1)(ii) and (a)(1)(iii) of this section do not apply if the information required</w:t>
      </w:r>
      <w:r>
        <w:rPr>
          <w:rFonts w:ascii="Arial" w:cs="Arial" w:eastAsia="Arial" w:hAnsi="Arial"/>
          <w:sz w:val="18"/>
          <w:szCs w:val="18"/>
          <w:i w:val="1"/>
          <w:iCs w:val="1"/>
          <w:color w:val="231F20"/>
        </w:rPr>
        <w:t xml:space="preserve"> </w:t>
      </w:r>
      <w:r>
        <w:rPr>
          <w:rFonts w:ascii="Arial" w:cs="Arial" w:eastAsia="Arial" w:hAnsi="Arial"/>
          <w:sz w:val="18"/>
          <w:szCs w:val="18"/>
          <w:color w:val="231F20"/>
        </w:rPr>
        <w:t>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63" w:lineRule="auto"/>
        <w:tabs>
          <w:tab w:leader="none" w:pos="660" w:val="left"/>
        </w:tabs>
        <w:numPr>
          <w:ilvl w:val="1"/>
          <w:numId w:val="69"/>
        </w:numPr>
        <w:rPr>
          <w:rFonts w:ascii="Arial" w:cs="Arial" w:eastAsia="Arial" w:hAnsi="Arial"/>
          <w:sz w:val="18"/>
          <w:szCs w:val="18"/>
          <w:color w:val="231F20"/>
        </w:rPr>
      </w:pPr>
      <w:r>
        <w:rPr>
          <w:rFonts w:ascii="Arial" w:cs="Arial" w:eastAsia="Arial" w:hAnsi="Arial"/>
          <w:sz w:val="18"/>
          <w:szCs w:val="18"/>
          <w:color w:val="231F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231F20"/>
        </w:rPr>
      </w:pPr>
    </w:p>
    <w:p>
      <w:pPr>
        <w:ind w:left="660" w:hanging="328"/>
        <w:spacing w:after="0" w:line="277" w:lineRule="auto"/>
        <w:tabs>
          <w:tab w:leader="none" w:pos="660" w:val="left"/>
        </w:tabs>
        <w:numPr>
          <w:ilvl w:val="1"/>
          <w:numId w:val="69"/>
        </w:numPr>
        <w:rPr>
          <w:rFonts w:ascii="Arial" w:cs="Arial" w:eastAsia="Arial" w:hAnsi="Arial"/>
          <w:sz w:val="18"/>
          <w:szCs w:val="18"/>
          <w:color w:val="231F20"/>
        </w:rPr>
      </w:pPr>
      <w:r>
        <w:rPr>
          <w:rFonts w:ascii="Arial" w:cs="Arial" w:eastAsia="Arial" w:hAnsi="Arial"/>
          <w:sz w:val="18"/>
          <w:szCs w:val="18"/>
          <w:color w:val="231F20"/>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1"/>
          <w:numId w:val="69"/>
        </w:numPr>
        <w:rPr>
          <w:rFonts w:ascii="Arial" w:cs="Arial" w:eastAsia="Arial" w:hAnsi="Arial"/>
          <w:sz w:val="18"/>
          <w:szCs w:val="18"/>
          <w:color w:val="231F20"/>
        </w:rPr>
      </w:pPr>
      <w:r>
        <w:rPr>
          <w:rFonts w:ascii="Arial" w:cs="Arial" w:eastAsia="Arial" w:hAnsi="Arial"/>
          <w:sz w:val="18"/>
          <w:szCs w:val="18"/>
          <w:color w:val="231F20"/>
        </w:rPr>
        <w:t>That, for the purpose of determining liability under the Securities Act to any purchaser:</w:t>
      </w:r>
    </w:p>
    <w:p>
      <w:pPr>
        <w:spacing w:after="0" w:line="225" w:lineRule="exact"/>
        <w:rPr>
          <w:rFonts w:ascii="Arial" w:cs="Arial" w:eastAsia="Arial" w:hAnsi="Arial"/>
          <w:sz w:val="18"/>
          <w:szCs w:val="18"/>
          <w:color w:val="231F20"/>
        </w:rPr>
      </w:pPr>
    </w:p>
    <w:p>
      <w:pPr>
        <w:ind w:left="1000" w:right="180" w:hanging="317"/>
        <w:spacing w:after="0" w:line="308" w:lineRule="auto"/>
        <w:tabs>
          <w:tab w:leader="none" w:pos="1000" w:val="left"/>
        </w:tabs>
        <w:numPr>
          <w:ilvl w:val="2"/>
          <w:numId w:val="69"/>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ind w:left="1000" w:hanging="317"/>
        <w:spacing w:after="0" w:line="286" w:lineRule="auto"/>
        <w:tabs>
          <w:tab w:leader="none" w:pos="1000" w:val="left"/>
        </w:tabs>
        <w:numPr>
          <w:ilvl w:val="2"/>
          <w:numId w:val="69"/>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3" w:lineRule="exact"/>
        <w:rPr>
          <w:rFonts w:ascii="Arial" w:cs="Arial" w:eastAsia="Arial" w:hAnsi="Arial"/>
          <w:sz w:val="16"/>
          <w:szCs w:val="16"/>
          <w:color w:val="auto"/>
        </w:rPr>
      </w:pPr>
    </w:p>
    <w:p>
      <w:pPr>
        <w:ind w:left="660" w:right="40" w:hanging="328"/>
        <w:spacing w:after="0" w:line="296" w:lineRule="auto"/>
        <w:tabs>
          <w:tab w:leader="none" w:pos="660" w:val="left"/>
        </w:tabs>
        <w:numPr>
          <w:ilvl w:val="1"/>
          <w:numId w:val="69"/>
        </w:numPr>
        <w:rPr>
          <w:rFonts w:ascii="Arial" w:cs="Arial" w:eastAsia="Arial" w:hAnsi="Arial"/>
          <w:sz w:val="16"/>
          <w:szCs w:val="16"/>
          <w:color w:val="231F20"/>
        </w:rPr>
      </w:pPr>
      <w:r>
        <w:rPr>
          <w:rFonts w:ascii="Arial" w:cs="Arial" w:eastAsia="Arial" w:hAnsi="Arial"/>
          <w:sz w:val="16"/>
          <w:szCs w:val="16"/>
          <w:color w:val="231F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1" w:lineRule="exact"/>
        <w:rPr>
          <w:rFonts w:ascii="Arial" w:cs="Arial" w:eastAsia="Arial" w:hAnsi="Arial"/>
          <w:sz w:val="16"/>
          <w:szCs w:val="16"/>
          <w:color w:val="231F20"/>
        </w:rPr>
      </w:pPr>
    </w:p>
    <w:p>
      <w:pPr>
        <w:ind w:left="1000" w:right="20" w:hanging="317"/>
        <w:spacing w:after="0" w:line="277" w:lineRule="auto"/>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231F20"/>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000" w:right="520" w:hanging="317"/>
        <w:spacing w:after="0" w:line="277" w:lineRule="auto"/>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231F20"/>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000" w:right="720" w:hanging="317"/>
        <w:spacing w:after="0" w:line="308" w:lineRule="auto"/>
        <w:tabs>
          <w:tab w:leader="none" w:pos="1000" w:val="left"/>
        </w:tabs>
        <w:numPr>
          <w:ilvl w:val="2"/>
          <w:numId w:val="69"/>
        </w:numPr>
        <w:rPr>
          <w:rFonts w:ascii="Arial" w:cs="Arial" w:eastAsia="Arial" w:hAnsi="Arial"/>
          <w:sz w:val="17"/>
          <w:szCs w:val="17"/>
          <w:color w:val="auto"/>
        </w:rPr>
      </w:pPr>
      <w:r>
        <w:rPr>
          <w:rFonts w:ascii="Arial" w:cs="Arial" w:eastAsia="Arial" w:hAnsi="Arial"/>
          <w:sz w:val="17"/>
          <w:szCs w:val="17"/>
          <w:color w:val="231F20"/>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231F20"/>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7"/>
          <w:szCs w:val="17"/>
          <w:color w:val="231F20"/>
        </w:rPr>
      </w:pPr>
      <w:r>
        <w:rPr>
          <w:rFonts w:ascii="Arial" w:cs="Arial" w:eastAsia="Arial" w:hAnsi="Arial"/>
          <w:sz w:val="17"/>
          <w:szCs w:val="17"/>
          <w:color w:val="231F20"/>
        </w:rPr>
        <w:t>Insofar as indemnification for liabilities arising under the Securities Act may be permitted to directors, officers and controlling</w:t>
      </w:r>
    </w:p>
    <w:p>
      <w:pPr>
        <w:spacing w:after="0" w:line="34" w:lineRule="exact"/>
        <w:rPr>
          <w:rFonts w:ascii="Arial" w:cs="Arial" w:eastAsia="Arial" w:hAnsi="Arial"/>
          <w:sz w:val="17"/>
          <w:szCs w:val="17"/>
          <w:color w:val="231F20"/>
        </w:rPr>
      </w:pPr>
    </w:p>
    <w:p>
      <w:pPr>
        <w:ind w:right="20"/>
        <w:spacing w:after="0" w:line="288" w:lineRule="auto"/>
        <w:rPr>
          <w:rFonts w:ascii="Arial" w:cs="Arial" w:eastAsia="Arial" w:hAnsi="Arial"/>
          <w:sz w:val="17"/>
          <w:szCs w:val="17"/>
          <w:color w:val="231F20"/>
        </w:rPr>
      </w:pPr>
      <w:r>
        <w:rPr>
          <w:rFonts w:ascii="Arial" w:cs="Arial" w:eastAsia="Arial" w:hAnsi="Arial"/>
          <w:sz w:val="16"/>
          <w:szCs w:val="16"/>
          <w:color w:val="231F20"/>
        </w:rPr>
        <w:t>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Pursuant </w:t>
      </w:r>
      <w:r>
        <w:rPr>
          <w:rFonts w:ascii="Arial" w:cs="Arial" w:eastAsia="Arial" w:hAnsi="Arial"/>
          <w:sz w:val="18"/>
          <w:szCs w:val="18"/>
          <w:color w:val="231F20"/>
        </w:rPr>
        <w:t>to the requirements of the Securities Act of 1933, the registrant has duly caused this Post- effective Amendment No. 3 to</w:t>
      </w:r>
      <w:r>
        <w:rPr>
          <w:rFonts w:ascii="Arial" w:cs="Arial" w:eastAsia="Arial" w:hAnsi="Arial"/>
          <w:sz w:val="18"/>
          <w:szCs w:val="18"/>
          <w:color w:val="auto"/>
        </w:rPr>
        <w:t xml:space="preserve"> </w:t>
      </w:r>
      <w:r>
        <w:rPr>
          <w:rFonts w:ascii="Arial" w:cs="Arial" w:eastAsia="Arial" w:hAnsi="Arial"/>
          <w:sz w:val="18"/>
          <w:szCs w:val="18"/>
          <w:color w:val="231F20"/>
        </w:rPr>
        <w:t>the Registration Statement on Form S-1 to be signed on its behalf by the undersigned, thereunto duly authorized in the City of Lordstown, State of Ohio, on March 18, 2022.</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231F20"/>
        </w:rPr>
        <w:t>LORDSTOWN MOTORS CORP.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231F20"/>
        </w:rPr>
        <w:t>Name:</w:t>
      </w:r>
      <w:r>
        <w:rPr>
          <w:sz w:val="20"/>
          <w:szCs w:val="20"/>
          <w:color w:val="auto"/>
        </w:rPr>
        <w:tab/>
      </w:r>
      <w:r>
        <w:rPr>
          <w:rFonts w:ascii="Arial" w:cs="Arial" w:eastAsia="Arial" w:hAnsi="Arial"/>
          <w:sz w:val="17"/>
          <w:szCs w:val="17"/>
          <w:color w:val="231F20"/>
        </w:rPr>
        <w:t>Daniel A. Ninivaggi</w:t>
      </w:r>
    </w:p>
    <w:p>
      <w:pPr>
        <w:spacing w:after="0" w:line="2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231F20"/>
        </w:rPr>
        <w:t>Title:</w:t>
      </w:r>
      <w:r>
        <w:rPr>
          <w:sz w:val="20"/>
          <w:szCs w:val="20"/>
          <w:color w:val="auto"/>
        </w:rPr>
        <w:tab/>
      </w:r>
      <w:r>
        <w:rPr>
          <w:rFonts w:ascii="Arial" w:cs="Arial" w:eastAsia="Arial" w:hAnsi="Arial"/>
          <w:sz w:val="18"/>
          <w:szCs w:val="18"/>
          <w:i w:val="1"/>
          <w:iCs w:val="1"/>
          <w:color w:val="231F20"/>
        </w:rPr>
        <w:t>Chief Executive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Daniel A. Ninivaggi, Adam Kroll and Melissa A. Leonard,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231F20"/>
        </w:rPr>
        <w:t xml:space="preserve">Pursuant to the </w:t>
      </w:r>
      <w:r>
        <w:rPr>
          <w:rFonts w:ascii="Arial" w:cs="Arial" w:eastAsia="Arial" w:hAnsi="Arial"/>
          <w:sz w:val="18"/>
          <w:szCs w:val="18"/>
          <w:color w:val="000000"/>
        </w:rPr>
        <w:t>requirements</w:t>
      </w:r>
      <w:r>
        <w:rPr>
          <w:rFonts w:ascii="Arial" w:cs="Arial" w:eastAsia="Arial" w:hAnsi="Arial"/>
          <w:sz w:val="18"/>
          <w:szCs w:val="18"/>
          <w:color w:val="231F20"/>
        </w:rPr>
        <w:t xml:space="preserve"> of the Securities Act of 1933, this Post-effective Amendment No. 3 to the Registration Statement on Form S-1 has been signed below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60" w:type="dxa"/>
            <w:vAlign w:val="bottom"/>
          </w:tcPr>
          <w:p>
            <w:pPr>
              <w:spacing w:after="0"/>
              <w:rPr>
                <w:sz w:val="14"/>
                <w:szCs w:val="14"/>
                <w:color w:val="auto"/>
              </w:rPr>
            </w:pPr>
          </w:p>
        </w:tc>
        <w:tc>
          <w:tcPr>
            <w:tcW w:w="43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5"/>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Daniel A. Ninivaggi</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Chief Executive Officer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5"/>
              </w:rPr>
              <w:t>Daniel A. Ninivaggi</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Adam Kroll</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Chief Financial Officer and Principal Accounting Officer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7"/>
              </w:rPr>
              <w:t>Adam Kroll</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T. Hamamoto</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2"/>
              </w:rPr>
              <w:t>David T. Hamamoto</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Feldman</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3"/>
              </w:rPr>
              <w:t>Keith Feldman</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 Jane Reiss</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85"/>
              </w:rPr>
              <w:t>Jane Reiss</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Dale Spencer</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87"/>
              </w:rPr>
              <w:t>Dale Spencer</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Gates</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0"/>
              </w:rPr>
              <w:t>Michael Gates</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Angela Strand</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1"/>
              </w:rPr>
              <w:t>Angela Strand</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Martin J. Rucidlo</w:t>
            </w:r>
          </w:p>
        </w:tc>
        <w:tc>
          <w:tcPr>
            <w:tcW w:w="48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0" w:type="dxa"/>
            <w:vAlign w:val="bottom"/>
          </w:tcPr>
          <w:p>
            <w:pPr>
              <w:spacing w:after="0"/>
              <w:rPr>
                <w:sz w:val="1"/>
                <w:szCs w:val="1"/>
                <w:color w:val="auto"/>
              </w:rPr>
            </w:pPr>
          </w:p>
        </w:tc>
      </w:tr>
      <w:tr>
        <w:trPr>
          <w:trHeight w:val="61"/>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3"/>
              </w:rPr>
              <w:t>Martin J. Rucidlo</w:t>
            </w:r>
          </w:p>
        </w:tc>
        <w:tc>
          <w:tcPr>
            <w:tcW w:w="48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3"/>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2"/>
          </w:tcPr>
          <w:p>
            <w:pPr>
              <w:ind w:left="1040"/>
              <w:spacing w:after="0"/>
              <w:rPr>
                <w:sz w:val="20"/>
                <w:szCs w:val="20"/>
                <w:color w:val="auto"/>
              </w:rPr>
            </w:pPr>
            <w:r>
              <w:rPr>
                <w:rFonts w:ascii="Arial" w:cs="Arial" w:eastAsia="Arial" w:hAnsi="Arial"/>
                <w:sz w:val="18"/>
                <w:szCs w:val="18"/>
                <w:color w:val="auto"/>
              </w:rPr>
              <w:t>II-8</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consent to the use of our reports dated February 28, 2022, with respect to the consolidated financial statements of Lordstown Motors Corp., and the effectiveness of internal control over financial reporting, included herein and to the reference to our firm under the heading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1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We consent to the incorporation by reference in this Post-Effective Amendment No. 3 to the Registration Statement on Form S-1 (the “Registration Statement”) of Lordstown Motors Corp. (the “Company”) of our report dated August 24, 2020, with respect to the financial statements of the Company which appear in the Registration Statement, and to all references to our Firm included in this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 Clark, Schaefer, Hackett &amp; Co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upperLetter"/>
      <w:start w:val="1"/>
    </w:lvl>
  </w:abstractNum>
  <w:abstractNum w:abstractNumId="3">
    <w:nsid w:val="77465F01"/>
    <w:multiLevelType w:val="hybridMultilevel"/>
    <w:lvl w:ilvl="0">
      <w:lvlJc w:val="left"/>
      <w:lvlText w:val="\emdash "/>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7"/>
    </w:lvl>
  </w:abstractNum>
  <w:abstractNum w:abstractNumId="31">
    <w:nsid w:val="1BA026FA"/>
    <w:multiLevelType w:val="hybridMultilevel"/>
    <w:lvl w:ilvl="0">
      <w:lvlJc w:val="left"/>
      <w:lvlText w:val="●"/>
      <w:numFmt w:val="bullet"/>
      <w:start w:val="1"/>
    </w:lvl>
    <w:lvl w:ilvl="1">
      <w:lvlJc w:val="left"/>
      <w:lvlText w:val="●"/>
      <w:numFmt w:val="bullet"/>
      <w:start w:val="1"/>
    </w:lvl>
  </w:abstractNum>
  <w:abstractNum w:abstractNumId="32">
    <w:nsid w:val="79A1DEAA"/>
    <w:multiLevelType w:val="hybridMultilevel"/>
    <w:lvl w:ilvl="0">
      <w:lvlJc w:val="left"/>
      <w:lvlText w:val="●"/>
      <w:numFmt w:val="bullet"/>
      <w:start w:val="1"/>
    </w:lvl>
    <w:lvl w:ilvl="1">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3"/>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5"/>
    </w:lvl>
  </w:abstractNum>
  <w:abstractNum w:abstractNumId="43">
    <w:nsid w:val="1CF10FD8"/>
    <w:multiLevelType w:val="hybridMultilevel"/>
    <w:lvl w:ilvl="0">
      <w:lvlJc w:val="left"/>
      <w:lvlText w:val="(%1)"/>
      <w:numFmt w:val="decimal"/>
      <w:start w:val="22"/>
    </w:lvl>
  </w:abstractNum>
  <w:abstractNum w:abstractNumId="44">
    <w:nsid w:val="180115BE"/>
    <w:multiLevelType w:val="hybridMultilevel"/>
    <w:lvl w:ilvl="0">
      <w:lvlJc w:val="left"/>
      <w:lvlText w:val="(%1)"/>
      <w:numFmt w:val="decimal"/>
      <w:start w:val="36"/>
    </w:lvl>
  </w:abstractNum>
  <w:abstractNum w:abstractNumId="45">
    <w:nsid w:val="235BA861"/>
    <w:multiLevelType w:val="hybridMultilevel"/>
    <w:lvl w:ilvl="0">
      <w:lvlJc w:val="left"/>
      <w:lvlText w:val="(%1)"/>
      <w:numFmt w:val="decimal"/>
      <w:start w:val="59"/>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lowerRoman"/>
      <w:start w:val="10"/>
    </w:lvl>
  </w:abstractNum>
  <w:abstractNum w:abstractNumId="61">
    <w:nsid w:val="1DBABF00"/>
    <w:multiLevelType w:val="hybridMultilevel"/>
    <w:lvl w:ilvl="0">
      <w:lvlJc w:val="left"/>
      <w:lvlText w:val="(%1)"/>
      <w:numFmt w:val="lowerLetter"/>
      <w:start w:val="2"/>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8">
    <w:nsid w:val="15014AC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69">
    <w:nsid w:val="5F5E7FD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29"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195" Type="http://schemas.openxmlformats.org/officeDocument/2006/relationships/hyperlink" Target="https://www.sec.gov/Archives/edgar/data/1759546/000121390020019762/ea124863ex2-1_diamondpeak.htm" TargetMode="External"/><Relationship Id="rId196" Type="http://schemas.openxmlformats.org/officeDocument/2006/relationships/hyperlink" Target="https://www.sec.gov/Archives/edgar/data/1759546/000110465920119279/tm2034197d1_ex3-1.htm" TargetMode="External"/><Relationship Id="rId197" Type="http://schemas.openxmlformats.org/officeDocument/2006/relationships/hyperlink" Target="https://www.sec.gov/Archives/edgar/data/1759546/000110465920119279/tm2034197d1_ex3-2.htm" TargetMode="External"/><Relationship Id="rId198" Type="http://schemas.openxmlformats.org/officeDocument/2006/relationships/hyperlink" Target="https://www.sec.gov/Archives/edgar/data/1759546/000155837022002265/ride-20211231xex4d1.htm" TargetMode="External"/><Relationship Id="rId199" Type="http://schemas.openxmlformats.org/officeDocument/2006/relationships/hyperlink" Target="https://www.sec.gov/Archives/edgar/data/1759546/000121390019003554/f8k0319ex4-1_diamond.htm" TargetMode="External"/><Relationship Id="rId200" Type="http://schemas.openxmlformats.org/officeDocument/2006/relationships/hyperlink" Target="https://www.sec.gov/Archives/edgar/data/1759546/000110465921098249/tm2123645d2_ex5-1.htm" TargetMode="External"/><Relationship Id="rId201" Type="http://schemas.openxmlformats.org/officeDocument/2006/relationships/hyperlink" Target="https://www.sec.gov/Archives/edgar/data/1759546/000121390020019762/ea124863ex10-1_diamondpeak.htm" TargetMode="External"/><Relationship Id="rId202" Type="http://schemas.openxmlformats.org/officeDocument/2006/relationships/hyperlink" Target="https://www.sec.gov/Archives/edgar/data/1759546/000110465920119279/tm2034197d1_ex10-2.htm" TargetMode="External"/><Relationship Id="rId203" Type="http://schemas.openxmlformats.org/officeDocument/2006/relationships/hyperlink" Target="https://www.sec.gov/Archives/edgar/data/1759546/000110465920119279/tm2034197d1_ex10-3.htm" TargetMode="External"/><Relationship Id="rId204" Type="http://schemas.openxmlformats.org/officeDocument/2006/relationships/hyperlink" Target="https://www.sec.gov/Archives/edgar/data/1759546/000110465920113421/tm2029038-7_defm14a.htm" TargetMode="External"/><Relationship Id="rId205" Type="http://schemas.openxmlformats.org/officeDocument/2006/relationships/hyperlink" Target="https://www.sec.gov/Archives/edgar/data/1759546/000155837021003449/ride-20201231xex10d5.htm" TargetMode="External"/><Relationship Id="rId206" Type="http://schemas.openxmlformats.org/officeDocument/2006/relationships/hyperlink" Target="https://www.sec.gov/Archives/edgar/data/1759546/000155837021003449/ride-20201231xex10d6.htm" TargetMode="External"/><Relationship Id="rId207" Type="http://schemas.openxmlformats.org/officeDocument/2006/relationships/hyperlink" Target="https://www.sec.gov/Archives/edgar/data/1759546/000155837021003449/ride-20201231xex10d7.htm" TargetMode="External"/><Relationship Id="rId208" Type="http://schemas.openxmlformats.org/officeDocument/2006/relationships/hyperlink" Target="https://www.sec.gov/Archives/edgar/data/1759546/000110465920119279/tm2034197d1_ex10-5.htm" TargetMode="External"/><Relationship Id="rId209" Type="http://schemas.openxmlformats.org/officeDocument/2006/relationships/hyperlink" Target="https://www.sec.gov/Archives/edgar/data/1759546/000110465920119279/tm2034197d1_ex10-11.htm" TargetMode="External"/><Relationship Id="rId212" Type="http://schemas.openxmlformats.org/officeDocument/2006/relationships/hyperlink" Target="https://www.sec.gov/Archives/edgar/data/1759546/000110465921080500/tm2119596d1_ex10-2.htm" TargetMode="External"/><Relationship Id="rId213" Type="http://schemas.openxmlformats.org/officeDocument/2006/relationships/hyperlink" Target="https://www.sec.gov/Archives/edgar/data/1759546/000110465921080500/tm2119596d1_ex10-3.htm" TargetMode="External"/><Relationship Id="rId214" Type="http://schemas.openxmlformats.org/officeDocument/2006/relationships/hyperlink" Target="https://www.sec.gov/Archives/edgar/data/1759546/000110465921085206/tm2119909d2_ex10-1.htm" TargetMode="External"/><Relationship Id="rId215" Type="http://schemas.openxmlformats.org/officeDocument/2006/relationships/hyperlink" Target="https://www.sec.gov/Archives/edgar/data/1759546/000110465921085206/tm2119909d2_ex10-2.htm" TargetMode="External"/><Relationship Id="rId216" Type="http://schemas.openxmlformats.org/officeDocument/2006/relationships/hyperlink" Target="https://www.sec.gov/Archives/edgar/data/1759546/000110465921085206/tm2119909d2_ex10-3.htm" TargetMode="External"/><Relationship Id="rId217" Type="http://schemas.openxmlformats.org/officeDocument/2006/relationships/hyperlink" Target="https://www.sec.gov/Archives/edgar/data/1759546/000110465921080500/tm2119596d1_ex10-1.htm" TargetMode="External"/><Relationship Id="rId218" Type="http://schemas.openxmlformats.org/officeDocument/2006/relationships/hyperlink" Target="https://www.sec.gov/Archives/edgar/data/1759546/000110465921136702/tm2132527d1_ex10-2.htm" TargetMode="External"/><Relationship Id="rId219" Type="http://schemas.openxmlformats.org/officeDocument/2006/relationships/hyperlink" Target="https://www.sec.gov/Archives/edgar/data/1759546/000110465921125686/tm2129885d1_ex10-1.htm" TargetMode="External"/><Relationship Id="rId220" Type="http://schemas.openxmlformats.org/officeDocument/2006/relationships/hyperlink" Target="https://www.sec.gov/Archives/edgar/data/1759546/000110465921136702/tm2132527d1_ex10-1.htm" TargetMode="External"/><Relationship Id="rId221" Type="http://schemas.openxmlformats.org/officeDocument/2006/relationships/hyperlink" Target="https://www.sec.gov/Archives/edgar/data/1759546/000155837022002265/ride-20211231xex10d23.htm" TargetMode="External"/><Relationship Id="rId222" Type="http://schemas.openxmlformats.org/officeDocument/2006/relationships/hyperlink" Target="https://www.sec.gov/Archives/edgar/data/1425287/000162828020003532/wkhs-2019x10kxex1041xi.htm" TargetMode="External"/><Relationship Id="rId223" Type="http://schemas.openxmlformats.org/officeDocument/2006/relationships/hyperlink" Target="https://www.sec.gov/Archives/edgar/data/1425287/000162828020011660/lmcworkhorseagreement2.htm" TargetMode="External"/><Relationship Id="rId224" Type="http://schemas.openxmlformats.org/officeDocument/2006/relationships/hyperlink" Target="https://www.sec.gov/Archives/edgar/data/1759546/000110465920119279/tm2034197d1_ex10-14.htm" TargetMode="External"/><Relationship Id="rId225" Type="http://schemas.openxmlformats.org/officeDocument/2006/relationships/hyperlink" Target="https://www.sec.gov/Archives/edgar/data/1759546/000110465920119279/tm2034197d1_ex10-15.htm" TargetMode="External"/><Relationship Id="rId226" Type="http://schemas.openxmlformats.org/officeDocument/2006/relationships/hyperlink" Target="https://www.sec.gov/Archives/edgar/data/1759546/000110465920119279/tm2034197d1_ex10-16.htm" TargetMode="External"/><Relationship Id="rId227" Type="http://schemas.openxmlformats.org/officeDocument/2006/relationships/hyperlink" Target="https://www.sec.gov/Archives/edgar/data/1759546/000110465920119279/tm2034197d1_ex10-17.htm" TargetMode="External"/><Relationship Id="rId228" Type="http://schemas.openxmlformats.org/officeDocument/2006/relationships/hyperlink" Target="https://www.sec.gov/Archives/edgar/data/1759546/000155837021009220/ride-20210723xex10d1.htm" TargetMode="External"/><Relationship Id="rId230" Type="http://schemas.openxmlformats.org/officeDocument/2006/relationships/hyperlink" Target="https://www.sec.gov/Archives/edgar/data/1759546/000110465921137046/tm2132527d2_ex10-1.htm" TargetMode="External"/><Relationship Id="rId231" Type="http://schemas.openxmlformats.org/officeDocument/2006/relationships/hyperlink" Target="https://www.sec.gov/Archives/edgar/data/1759546/000110465920119279/tm2034197d1_ex16-1.htm" TargetMode="External"/><Relationship Id="rId232" Type="http://schemas.openxmlformats.org/officeDocument/2006/relationships/hyperlink" Target="https://www.sec.gov/Archives/edgar/data/1759546/000155837022002265/ride-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2022-03-21T05:15:50Z</dcterms:created>
  <dcterms:modified xsi:type="dcterms:W3CDTF">2022-03-21T05:15:50Z</dcterms:modified>
</cp:coreProperties>
</file>