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ZYNGIER ALEXANDRE</w:t>
              </w:r>
            </w:hyperlink>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NU RIDE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NRDE</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2"/>
            <w:vMerge w:val="continue"/>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tcBorders>
              <w:bottom w:val="single" w:sz="8" w:color="0000EE"/>
            </w:tcBorders>
          </w:tcPr>
          <w:p>
            <w:pPr>
              <w:spacing w:after="0"/>
              <w:rPr>
                <w:sz w:val="6"/>
                <w:szCs w:val="6"/>
                <w:color w:val="auto"/>
              </w:rPr>
            </w:pPr>
          </w:p>
        </w:tc>
        <w:tc>
          <w:tcPr>
            <w:tcW w:w="24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300" w:type="dxa"/>
            <w:vAlign w:val="bottom"/>
            <w:tcBorders>
              <w:bottom w:val="single" w:sz="8" w:color="0000EE"/>
            </w:tcBorders>
            <w:gridSpan w:val="2"/>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4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01/02/2026</w:t>
            </w:r>
          </w:p>
        </w:tc>
        <w:tc>
          <w:tcPr>
            <w:tcW w:w="24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NU RIDE INC.</w:t>
            </w:r>
          </w:p>
        </w:tc>
        <w:tc>
          <w:tcPr>
            <w:tcW w:w="1340" w:type="dxa"/>
            <w:vAlign w:val="bottom"/>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24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1700 BROADWAY, 19TH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20" w:type="dxa"/>
            <w:vAlign w:val="bottom"/>
            <w:tcBorders>
              <w:bottom w:val="single" w:sz="8" w:color="2C2C2C"/>
            </w:tcBorders>
          </w:tcPr>
          <w:p>
            <w:pPr>
              <w:spacing w:after="0"/>
              <w:rPr>
                <w:sz w:val="12"/>
                <w:szCs w:val="12"/>
                <w:color w:val="auto"/>
              </w:rPr>
            </w:pPr>
          </w:p>
        </w:tc>
        <w:tc>
          <w:tcPr>
            <w:tcW w:w="24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8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ind w:left="480"/>
              <w:spacing w:after="0"/>
              <w:rPr>
                <w:sz w:val="20"/>
                <w:szCs w:val="20"/>
                <w:color w:val="auto"/>
              </w:rPr>
            </w:pPr>
            <w:r>
              <w:rPr>
                <w:rFonts w:ascii="Times New Roman" w:cs="Times New Roman" w:eastAsia="Times New Roman" w:hAnsi="Times New Roman"/>
                <w:sz w:val="17"/>
                <w:szCs w:val="17"/>
                <w:color w:val="0000FF"/>
              </w:rPr>
              <w:t>01/02/2026</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72,464</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tcPr>
          <w:p>
            <w:pPr>
              <w:jc w:val="right"/>
              <w:ind w:right="101"/>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0000FF"/>
              </w:rPr>
              <w:t>192,997</w:t>
            </w:r>
            <w:r>
              <w:rPr>
                <w:rFonts w:ascii="Times New Roman" w:cs="Times New Roman" w:eastAsia="Times New Roman" w:hAnsi="Times New Roman"/>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HZ</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282,056</w:t>
            </w:r>
          </w:p>
        </w:tc>
        <w:tc>
          <w:tcPr>
            <w:tcW w:w="3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8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2"/>
              </w:rPr>
              <w:t>(Instr. 4)</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award that vests in two equal annual installments beginning on January 2, 2027. Each restricted stock unit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restricted stock units.</w:t>
      </w:r>
    </w:p>
    <w:p>
      <w:pPr>
        <w:spacing w:after="0" w:line="50"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managing member of HZ Investments LLC and, by virtue of such position, has voting and dispositive power over the securities held by it. The reporting person disclaims beneficial ownership of these securities except to the extent of his pecuniary interest therein.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Alexander Matina,</w:t>
            </w:r>
          </w:p>
        </w:tc>
        <w:tc>
          <w:tcPr>
            <w:tcW w:w="5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01/06/2026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79876" TargetMode="External"/><Relationship Id="rId14" Type="http://schemas.openxmlformats.org/officeDocument/2006/relationships/hyperlink" Target="http://www.sec.gov/cgi-bin/browse-edgar?action=getcompany&amp;CIK=00017595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2026-01-06T16:17:48Z</dcterms:created>
  <dcterms:modified xsi:type="dcterms:W3CDTF">2026-01-06T16:17:48Z</dcterms:modified>
</cp:coreProperties>
</file>