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818__20"/>
      <w:bookmarkEnd w:id="2"/>
      <w:r>
        <w:rPr>
          <w:rFonts w:ascii="Times New Roman;Times;Serif" w:hAnsi="Times New Roman;Times;Serif"/>
          <w:b/>
          <w:i w:val="false"/>
          <w:caps w:val="false"/>
          <w:smallCaps w:val="false"/>
          <w:sz w:val="36"/>
        </w:rPr>
        <w:t>8-K</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August 18, 2026</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STARK NOVUS FINANCIAL INC.</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2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9_edei--EntityFileNumber_c20260818"/>
            <w:bookmarkEnd w:id="6"/>
            <w:r>
              <w:rPr>
                <w:rFonts w:ascii="Times New Roman;Times;Serif" w:hAnsi="Times New Roman;Times;Serif"/>
                <w:b/>
                <w:i w:val="false"/>
                <w:caps w:val="false"/>
                <w:smallCaps w:val="false"/>
                <w:sz w:val="20"/>
              </w:rPr>
              <w:t>001-38821</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83-2533239</w:t>
            </w:r>
          </w:p>
        </w:tc>
      </w:tr>
      <w:tr>
        <w:trPr/>
        <w:tc>
          <w:tcPr>
            <w:tcW w:w="216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1700 Broadway, </w:t>
      </w:r>
      <w:bookmarkStart w:id="9" w:name="xdx_90F_edei--EntityAddressAddressLine2_"/>
      <w:bookmarkEnd w:id="9"/>
      <w:r>
        <w:rPr>
          <w:rFonts w:ascii="Times New Roman;Times;Serif" w:hAnsi="Times New Roman;Times;Serif"/>
          <w:b/>
          <w:i w:val="false"/>
          <w:caps w:val="false"/>
          <w:smallCaps w:val="false"/>
          <w:sz w:val="20"/>
        </w:rPr>
        <w:t>19th Floor</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0" w:name="xdx_909_edei--EntityAddressCityOrTown_c2"/>
      <w:bookmarkEnd w:id="10"/>
      <w:r>
        <w:rPr>
          <w:rFonts w:ascii="Times New Roman;Times;Serif" w:hAnsi="Times New Roman;Times;Serif"/>
          <w:b/>
          <w:i w:val="false"/>
          <w:caps w:val="false"/>
          <w:smallCaps w:val="false"/>
          <w:sz w:val="20"/>
        </w:rPr>
        <w:t xml:space="preserve">New York, </w:t>
      </w:r>
      <w:bookmarkStart w:id="11" w:name="xdx_900_edei--EntityAddressStateOrProvin"/>
      <w:bookmarkEnd w:id="11"/>
      <w:r>
        <w:rPr>
          <w:rFonts w:ascii="Times New Roman;Times;Serif" w:hAnsi="Times New Roman;Times;Serif"/>
          <w:b/>
          <w:i w:val="false"/>
          <w:caps w:val="false"/>
          <w:smallCaps w:val="false"/>
          <w:sz w:val="20"/>
        </w:rPr>
        <w:t xml:space="preserve">New York </w:t>
      </w:r>
      <w:bookmarkStart w:id="12" w:name="xdx_901_edei--EntityAddressPostalZipCode"/>
      <w:bookmarkEnd w:id="12"/>
      <w:r>
        <w:rPr>
          <w:rFonts w:ascii="Times New Roman;Times;Serif" w:hAnsi="Times New Roman;Times;Serif"/>
          <w:b/>
          <w:i w:val="false"/>
          <w:caps w:val="false"/>
          <w:smallCaps w:val="false"/>
          <w:sz w:val="20"/>
        </w:rPr>
        <w:t>10019</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6_edei--CityAreaCode_c20260818__20"/>
      <w:bookmarkEnd w:id="13"/>
      <w:r>
        <w:rPr>
          <w:rFonts w:ascii="Times New Roman;Times;Serif" w:hAnsi="Times New Roman;Times;Serif"/>
          <w:b/>
          <w:i w:val="false"/>
          <w:caps w:val="false"/>
          <w:smallCaps w:val="false"/>
          <w:sz w:val="20"/>
        </w:rPr>
        <w:t xml:space="preserve">(212) </w:t>
      </w:r>
      <w:bookmarkStart w:id="14" w:name="xdx_90A_edei--LocalPhoneNumber_c20260818"/>
      <w:bookmarkEnd w:id="14"/>
      <w:r>
        <w:rPr>
          <w:rFonts w:ascii="Times New Roman;Times;Serif" w:hAnsi="Times New Roman;Times;Serif"/>
          <w:b/>
          <w:i w:val="false"/>
          <w:caps w:val="false"/>
          <w:smallCaps w:val="false"/>
          <w:sz w:val="20"/>
        </w:rPr>
        <w:t>202-2200</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pBdr/>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3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9_edei--SolicitingMaterial_c202608"/>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0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2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9_edei--EntityEmergingGrowthCompan"/>
      <w:bookmarkEnd w:id="19"/>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Stark Novus Financial Inc., a Delaware corporation (the “Company”) entered into an Omnibus Amendment to Financing Documents (the “Omnibus Amendment”) with Foxpoint Florida, LLC, a Missouri limited liability company (“FPF Borrower”), Foxpoint Florida II, LLC, a Missouri limited liability company (“FPFII Borrower”), Foxpoint Florida III, LLC, a Missouri limited liability company (“FPFIII Borrower”), Foxpoint Florida IV, LLC, a Missouri limited liability company (“FPFIV Borrower”), Foxpoint Florida V, LLC, a Missouri limited liability company (“FPFV Borrower”), 4445 W. Vine, LLC, a Missouri limited liability company (“Vine Borrower”, and together with FPF Borrower, FPFII Borrower, FPFIII Borrower, FPFIV Borrower, and FPFV Borrower, collectively, the “Borrowers”), James Neumann (the “Guarantor”) and the other lender parties thereto (the Company, in its capacity as a lender, and each other such person party thereto as a lender, collectively, the “Lenders”), pursuant to which, among other things, (i) the due date for payment of the monthly interest installments by the Borrowers for June 1 through September 1, 2026 will be deferred to the closing date of the sale of certain billboard and related assets located in Central Florida and owned by the Guarantor and the Borrowers (the “Orlando Sale”), (ii) a letter of intent with respect to the Orlando Sale is required to be executed by the Guarantor on or before August 19, 2026 (which deadline the Company orally agreed to extend to August 25,2026), (iii) the net proceeds of the Orlando Sale will be applied first to the payment in full of all amounts owing to the Lenders, (iv) the Guarantor will pledge as additional collateral a billboard advertising asset located in Bridgeton, Missouri, as additional security for any shortfall remaining after application of the Orlando Sale proceeds, and (v) a billboard advertising asset located in Bakersfield, California and owned by the Guarantor will be pledged as additional collateral securing the obligations under the Foxpoint Florida loan documents upon the occurrence of certain events of default.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Omnibus Amendment does not purport to be complete and is qualified in its entirety by reference to the full text of the Omnibus Amendment, which the Company expects to file as an exhibit to the Company’s Quarterly Report on Form 10-Q for the quarter ended September 30, 2026.</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pBdr/>
        <w:bidi w:val="0"/>
        <w:spacing w:before="0" w:after="0"/>
        <w:ind w:left="0" w:right="0" w:hanging="0"/>
        <w:jc w:val="left"/>
        <w:rPr>
          <w:caps w:val="false"/>
          <w:smallCaps w:val="false"/>
        </w:rPr>
      </w:pPr>
      <w:r>
        <w:rPr>
          <w:caps w:val="false"/>
          <w:smallCaps w:val="false"/>
        </w:rPr>
        <w:t> </w:t>
      </w:r>
    </w:p>
    <w:tbl>
      <w:tblPr>
        <w:tblW w:w="4824" w:type="dxa"/>
        <w:jc w:val="left"/>
        <w:tblInd w:w="0" w:type="dxa"/>
        <w:tblLayout w:type="fixed"/>
        <w:tblCellMar>
          <w:top w:w="0" w:type="dxa"/>
          <w:left w:w="0" w:type="dxa"/>
          <w:bottom w:w="0" w:type="dxa"/>
          <w:right w:w="0" w:type="dxa"/>
        </w:tblCellMar>
      </w:tblPr>
      <w:tblGrid>
        <w:gridCol w:w="1865"/>
        <w:gridCol w:w="645"/>
        <w:gridCol w:w="2314"/>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9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STARK NOVUS FINANCIAL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caps w:val="false"/>
                <w:smallCaps w:val="false"/>
              </w:rPr>
            </w:pPr>
            <w:r>
              <w:rPr>
                <w:caps w:val="false"/>
                <w:smallCaps w:val="false"/>
              </w:rPr>
              <w:t> </w:t>
            </w:r>
          </w:p>
        </w:tc>
        <w:tc>
          <w:tcPr>
            <w:tcW w:w="23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Alexander Matina</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Alexander Matina</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24, 2026</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716</Words>
  <Characters>3940</Characters>
  <CharactersWithSpaces>4656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