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211F1E"/>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211F1E"/>
        </w:rPr>
        <w:t>Registration No. 333-258306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211F1E"/>
        </w:rPr>
        <w:t>PROSPECTUS SUPPLEMENT NO. 8</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211F1E"/>
        </w:rPr>
        <w:t>(to Prospectus dated August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2225040</wp:posOffset>
            </wp:positionH>
            <wp:positionV relativeFrom="paragraph">
              <wp:posOffset>142875</wp:posOffset>
            </wp:positionV>
            <wp:extent cx="26574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7475"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11F1E"/>
        </w:rPr>
        <w:t>Lordstown Motors Corp.</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35,144,690 Shares of Class A Common Stock</w:t>
      </w:r>
    </w:p>
    <w:p>
      <w:pPr>
        <w:spacing w:after="0" w:line="229" w:lineRule="exact"/>
        <w:rPr>
          <w:sz w:val="24"/>
          <w:szCs w:val="24"/>
          <w:color w:val="auto"/>
        </w:rPr>
      </w:pPr>
    </w:p>
    <w:p>
      <w:pPr>
        <w:ind w:right="200" w:firstLine="324"/>
        <w:spacing w:after="0" w:line="257" w:lineRule="auto"/>
        <w:rPr>
          <w:sz w:val="20"/>
          <w:szCs w:val="20"/>
          <w:color w:val="auto"/>
        </w:rPr>
      </w:pPr>
      <w:r>
        <w:rPr>
          <w:rFonts w:ascii="Arial" w:cs="Arial" w:eastAsia="Arial" w:hAnsi="Arial"/>
          <w:sz w:val="18"/>
          <w:szCs w:val="18"/>
          <w:color w:val="211F1E"/>
        </w:rPr>
        <w:t>This prospectus supplement supplements the prospectus dated August 11, 2021 (as amended and supplemented from time to time, the “Prospectus”), which forms a part of our registration statement on Form S-l (No. 333-258306). This prospectus supplement is being filed to update and supplement the information in the Prospectus with the information contained in our Annual Report on Form 10-K for the year ended December 31, 2021 filed with the Securities and Exchange Commission on February 28, 2022 (the “Annual Report”). Accordingly, we have attached the Annual Report to this prospectus supplement.</w:t>
      </w:r>
    </w:p>
    <w:p>
      <w:pPr>
        <w:spacing w:after="0" w:line="188" w:lineRule="exact"/>
        <w:rPr>
          <w:sz w:val="24"/>
          <w:szCs w:val="24"/>
          <w:color w:val="auto"/>
        </w:rPr>
      </w:pPr>
    </w:p>
    <w:p>
      <w:pPr>
        <w:ind w:firstLine="324"/>
        <w:spacing w:after="0" w:line="290" w:lineRule="auto"/>
        <w:rPr>
          <w:sz w:val="20"/>
          <w:szCs w:val="20"/>
          <w:color w:val="auto"/>
        </w:rPr>
      </w:pPr>
      <w:r>
        <w:rPr>
          <w:rFonts w:ascii="Arial" w:cs="Arial" w:eastAsia="Arial" w:hAnsi="Arial"/>
          <w:sz w:val="16"/>
          <w:szCs w:val="16"/>
          <w:color w:val="211F1E"/>
        </w:rPr>
        <w:t xml:space="preserve">The Prospectus and this prospectus supplement relate </w:t>
      </w:r>
      <w:r>
        <w:rPr>
          <w:rFonts w:ascii="Arial" w:cs="Arial" w:eastAsia="Arial" w:hAnsi="Arial"/>
          <w:sz w:val="16"/>
          <w:szCs w:val="16"/>
          <w:color w:val="000000"/>
        </w:rPr>
        <w:t>to the offer and sale of up to 35,144,690 shares of our Class A common stock, $0.0001 par value</w:t>
      </w:r>
      <w:r>
        <w:rPr>
          <w:rFonts w:ascii="Arial" w:cs="Arial" w:eastAsia="Arial" w:hAnsi="Arial"/>
          <w:sz w:val="16"/>
          <w:szCs w:val="16"/>
          <w:color w:val="211F1E"/>
        </w:rPr>
        <w:t xml:space="preserve"> </w:t>
      </w:r>
      <w:r>
        <w:rPr>
          <w:rFonts w:ascii="Arial" w:cs="Arial" w:eastAsia="Arial" w:hAnsi="Arial"/>
          <w:sz w:val="16"/>
          <w:szCs w:val="16"/>
          <w:color w:val="000000"/>
        </w:rPr>
        <w:t xml:space="preserve">per share (“Class A common stock”), by YA II PN, LTD., a Cayman Islands exempt limited partnership (the “Selling Stockholder”). </w:t>
      </w:r>
      <w:r>
        <w:rPr>
          <w:rFonts w:ascii="Arial" w:cs="Arial" w:eastAsia="Arial" w:hAnsi="Arial"/>
          <w:sz w:val="16"/>
          <w:szCs w:val="16"/>
          <w:color w:val="211F1E"/>
        </w:rPr>
        <w:t>T</w:t>
      </w:r>
      <w:r>
        <w:rPr>
          <w:rFonts w:ascii="Arial" w:cs="Arial" w:eastAsia="Arial" w:hAnsi="Arial"/>
          <w:sz w:val="16"/>
          <w:szCs w:val="16"/>
          <w:color w:val="000000"/>
        </w:rPr>
        <w:t>he shares of Class A common stock being offered by the Selling Stockholder have been and may be issued pursuant to the Equity Purchase Agreement dated July 23, 2021 that we entered into with the Selling Stockholder (the “Purchase Agreement”). We are not selling any securities under the Prospectus or this prospectus supplement and will not receive any of the proceeds from the sale of our Class A common stock by the Selling Stockholder. However, we may receive up to $400.0 million in aggregate gross proceeds from sales of our Class A common stock to the Selling Stockholder that we may make under the Purchase Agreement from time to time. See the sections of the Prospectus titled “</w:t>
      </w:r>
      <w:r>
        <w:rPr>
          <w:rFonts w:ascii="Arial" w:cs="Arial" w:eastAsia="Arial" w:hAnsi="Arial"/>
          <w:sz w:val="16"/>
          <w:szCs w:val="16"/>
          <w:i w:val="1"/>
          <w:iCs w:val="1"/>
          <w:color w:val="000000"/>
        </w:rPr>
        <w:t>The YA Transaction</w:t>
      </w:r>
      <w:r>
        <w:rPr>
          <w:rFonts w:ascii="Arial" w:cs="Arial" w:eastAsia="Arial" w:hAnsi="Arial"/>
          <w:sz w:val="16"/>
          <w:szCs w:val="16"/>
          <w:color w:val="000000"/>
        </w:rPr>
        <w:t>” for a description of the transaction contemplated by the Purchase Agreement and “</w:t>
      </w:r>
      <w:r>
        <w:rPr>
          <w:rFonts w:ascii="Arial" w:cs="Arial" w:eastAsia="Arial" w:hAnsi="Arial"/>
          <w:sz w:val="16"/>
          <w:szCs w:val="16"/>
          <w:i w:val="1"/>
          <w:iCs w:val="1"/>
          <w:color w:val="000000"/>
        </w:rPr>
        <w:t>Selling Stockholder</w:t>
      </w:r>
      <w:r>
        <w:rPr>
          <w:rFonts w:ascii="Arial" w:cs="Arial" w:eastAsia="Arial" w:hAnsi="Arial"/>
          <w:sz w:val="16"/>
          <w:szCs w:val="16"/>
          <w:color w:val="000000"/>
        </w:rPr>
        <w:t>” for additional information regarding the Selling Stockholder.</w:t>
      </w:r>
    </w:p>
    <w:p>
      <w:pPr>
        <w:spacing w:after="0" w:line="165" w:lineRule="exact"/>
        <w:rPr>
          <w:sz w:val="24"/>
          <w:szCs w:val="24"/>
          <w:color w:val="auto"/>
        </w:rPr>
      </w:pPr>
    </w:p>
    <w:p>
      <w:pPr>
        <w:ind w:right="200" w:firstLine="324"/>
        <w:spacing w:after="0" w:line="259" w:lineRule="auto"/>
        <w:rPr>
          <w:sz w:val="20"/>
          <w:szCs w:val="20"/>
          <w:color w:val="auto"/>
        </w:rPr>
      </w:pPr>
      <w:r>
        <w:rPr>
          <w:rFonts w:ascii="Arial" w:cs="Arial" w:eastAsia="Arial" w:hAnsi="Arial"/>
          <w:sz w:val="18"/>
          <w:szCs w:val="18"/>
          <w:color w:val="auto"/>
        </w:rPr>
        <w:t>The Selling Stockholder may sell the shares of Class A common stock included in the Prospectus and this prospectus supplement in a number of different ways and at varying prices. We provide more information about how the Selling Stockholder may sell the shares in the section of the Prospectus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The Selling Stockholder is an “underwriter” within the meaning of Section 2(a)(11) of the Securities Act of 1933, as amended.</w:t>
      </w:r>
    </w:p>
    <w:p>
      <w:pPr>
        <w:spacing w:after="0" w:line="187" w:lineRule="exact"/>
        <w:rPr>
          <w:sz w:val="24"/>
          <w:szCs w:val="24"/>
          <w:color w:val="auto"/>
        </w:rPr>
      </w:pPr>
    </w:p>
    <w:p>
      <w:pPr>
        <w:ind w:right="320" w:firstLine="324"/>
        <w:spacing w:after="0" w:line="277" w:lineRule="auto"/>
        <w:rPr>
          <w:sz w:val="20"/>
          <w:szCs w:val="20"/>
          <w:color w:val="auto"/>
        </w:rPr>
      </w:pPr>
      <w:r>
        <w:rPr>
          <w:rFonts w:ascii="Arial" w:cs="Arial" w:eastAsia="Arial" w:hAnsi="Arial"/>
          <w:sz w:val="18"/>
          <w:szCs w:val="18"/>
          <w:color w:val="211F1E"/>
        </w:rPr>
        <w:t>Our Class A common stock is listed on the Nasdaq Global Select Market under the symbol “RIDE.” On February 25, 2022, the closing price of our Class A common stock was $3.21 per share.</w:t>
      </w:r>
    </w:p>
    <w:p>
      <w:pPr>
        <w:spacing w:after="0" w:line="170"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211F1E"/>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3" w:lineRule="exact"/>
        <w:rPr>
          <w:sz w:val="24"/>
          <w:szCs w:val="24"/>
          <w:color w:val="auto"/>
        </w:rPr>
      </w:pPr>
    </w:p>
    <w:p>
      <w:pPr>
        <w:ind w:right="420" w:firstLine="324"/>
        <w:spacing w:after="0" w:line="282" w:lineRule="auto"/>
        <w:rPr>
          <w:sz w:val="20"/>
          <w:szCs w:val="20"/>
          <w:color w:val="auto"/>
        </w:rPr>
      </w:pPr>
      <w:r>
        <w:rPr>
          <w:rFonts w:ascii="Arial" w:cs="Arial" w:eastAsia="Arial" w:hAnsi="Arial"/>
          <w:sz w:val="18"/>
          <w:szCs w:val="18"/>
          <w:b w:val="1"/>
          <w:bCs w:val="1"/>
          <w:color w:val="211F1E"/>
        </w:rPr>
        <w:t xml:space="preserve">See the section entitled </w:t>
      </w:r>
      <w:r>
        <w:rPr>
          <w:rFonts w:ascii="Arial" w:cs="Arial" w:eastAsia="Arial" w:hAnsi="Arial"/>
          <w:sz w:val="18"/>
          <w:szCs w:val="18"/>
          <w:b w:val="1"/>
          <w:bCs w:val="1"/>
          <w:i w:val="1"/>
          <w:iCs w:val="1"/>
          <w:color w:val="211F1E"/>
        </w:rPr>
        <w:t>“Risk Factors”</w:t>
      </w:r>
      <w:r>
        <w:rPr>
          <w:rFonts w:ascii="Arial" w:cs="Arial" w:eastAsia="Arial" w:hAnsi="Arial"/>
          <w:sz w:val="18"/>
          <w:szCs w:val="18"/>
          <w:b w:val="1"/>
          <w:bCs w:val="1"/>
          <w:color w:val="211F1E"/>
        </w:rPr>
        <w:t xml:space="preserve"> beginning on page 5 of the Prospectus to read about factors you should consider before buying our securities.</w:t>
      </w:r>
    </w:p>
    <w:p>
      <w:pPr>
        <w:spacing w:after="0" w:line="162"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211F1E"/>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1F1E"/>
        </w:rPr>
        <w:t>The date of this prospectus supplement is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117475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20" w:right="600" w:hanging="412"/>
        <w:spacing w:after="0" w:line="271"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420" w:hanging="412"/>
        <w:spacing w:after="0" w:line="182" w:lineRule="auto"/>
        <w:tabs>
          <w:tab w:leader="none" w:pos="42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185" w:lineRule="exact"/>
        <w:rPr>
          <w:sz w:val="20"/>
          <w:szCs w:val="20"/>
          <w:color w:val="auto"/>
        </w:rPr>
      </w:pPr>
    </w:p>
    <w:p>
      <w:pPr>
        <w:ind w:left="42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001-38821</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Lordstown Motors Corp.</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900"/>
          </w:cols>
          <w:pgMar w:left="980" w:top="1246" w:right="1019" w:bottom="1440" w:gutter="0" w:footer="0" w:header="0"/>
        </w:sectPr>
      </w:pPr>
    </w:p>
    <w:p>
      <w:pPr>
        <w:spacing w:after="0" w:line="5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(State or Other Jurisdiction of</w:t>
      </w:r>
    </w:p>
    <w:p>
      <w:pPr>
        <w:ind w:left="2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Number.)</w:t>
      </w:r>
    </w:p>
    <w:p>
      <w:pPr>
        <w:spacing w:after="0" w:line="3" w:lineRule="exact"/>
        <w:rPr>
          <w:sz w:val="20"/>
          <w:szCs w:val="20"/>
          <w:color w:val="auto"/>
        </w:rPr>
      </w:pPr>
    </w:p>
    <w:p>
      <w:pPr>
        <w:sectPr>
          <w:pgSz w:w="11900" w:h="16838" w:orient="portrait"/>
          <w:cols w:equalWidth="0" w:num="2">
            <w:col w:w="6720" w:space="720"/>
            <w:col w:w="2460"/>
          </w:cols>
          <w:pgMar w:left="980" w:top="1246" w:right="101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2300 Hallock Young Road</w:t>
      </w:r>
    </w:p>
    <w:p>
      <w:pPr>
        <w:jc w:val="center"/>
        <w:ind w:right="-5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900"/>
          </w:cols>
          <w:pgMar w:left="980" w:top="1246" w:right="101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(234) 285-4001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w w:val="97"/>
              </w:rPr>
              <w:t>Title of each class</w:t>
            </w:r>
          </w:p>
        </w:tc>
        <w:tc>
          <w:tcPr>
            <w:tcW w:w="1280" w:type="dxa"/>
            <w:vAlign w:val="bottom"/>
          </w:tcPr>
          <w:p>
            <w:pPr>
              <w:spacing w:after="0"/>
              <w:rPr>
                <w:sz w:val="18"/>
                <w:szCs w:val="18"/>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Trading symbol</w:t>
            </w:r>
          </w:p>
        </w:tc>
        <w:tc>
          <w:tcPr>
            <w:tcW w:w="3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7"/>
              </w:rPr>
              <w:t>Common</w:t>
            </w:r>
          </w:p>
        </w:tc>
        <w:tc>
          <w:tcPr>
            <w:tcW w:w="1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00" w:type="dxa"/>
            <w:vAlign w:val="bottom"/>
            <w:vMerge w:val="continue"/>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$0.0001 Par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RIDE</w:t>
            </w:r>
          </w:p>
        </w:tc>
        <w:tc>
          <w:tcPr>
            <w:tcW w:w="620" w:type="dxa"/>
            <w:vAlign w:val="bottom"/>
            <w:vMerge w:val="continue"/>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6"/>
          <w:szCs w:val="16"/>
          <w:b w:val="1"/>
          <w:bCs w:val="1"/>
          <w:color w:val="auto"/>
        </w:rPr>
        <w:t>None</w:t>
      </w:r>
    </w:p>
    <w:p>
      <w:pPr>
        <w:spacing w:after="0" w:line="72" w:lineRule="exact"/>
        <w:rPr>
          <w:sz w:val="20"/>
          <w:szCs w:val="20"/>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0"/>
          <w:szCs w:val="20"/>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0"/>
          <w:szCs w:val="20"/>
          <w:color w:val="auto"/>
        </w:rPr>
      </w:pPr>
    </w:p>
    <w:p>
      <w:pPr>
        <w:ind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0"/>
          <w:szCs w:val="20"/>
          <w:color w:val="auto"/>
        </w:rPr>
      </w:pPr>
    </w:p>
    <w:p>
      <w:pPr>
        <w:ind w:right="2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0"/>
          <w:szCs w:val="20"/>
          <w:color w:val="auto"/>
        </w:rPr>
      </w:pPr>
    </w:p>
    <w:p>
      <w:pPr>
        <w:ind w:right="60"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00"/>
          </w:cols>
          <w:pgMar w:left="980" w:top="1246" w:right="1019" w:bottom="1440" w:gutter="0" w:footer="0" w:header="0"/>
          <w:type w:val="continuous"/>
        </w:sectPr>
      </w:pPr>
    </w:p>
    <w:p>
      <w:pPr>
        <w:spacing w:after="0" w:line="29" w:lineRule="exact"/>
        <w:rPr>
          <w:sz w:val="20"/>
          <w:szCs w:val="20"/>
          <w:color w:val="auto"/>
        </w:rPr>
      </w:pPr>
    </w:p>
    <w:p>
      <w:pPr>
        <w:ind w:left="8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0"/>
          <w:szCs w:val="20"/>
          <w:color w:val="auto"/>
        </w:rPr>
      </w:pPr>
    </w:p>
    <w:p>
      <w:pPr>
        <w:sectPr>
          <w:pgSz w:w="11900" w:h="16838" w:orient="portrait"/>
          <w:cols w:equalWidth="0" w:num="3">
            <w:col w:w="3440" w:space="720"/>
            <w:col w:w="2500" w:space="720"/>
            <w:col w:w="2520"/>
          </w:cols>
          <w:pgMar w:left="980" w:top="1246" w:right="1019" w:bottom="1440" w:gutter="0" w:footer="0" w:header="0"/>
          <w:type w:val="continuous"/>
        </w:sectPr>
      </w:pPr>
    </w:p>
    <w:p>
      <w:pPr>
        <w:ind w:left="15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5780" w:space="720"/>
            <w:col w:w="3400"/>
          </w:cols>
          <w:pgMar w:left="980" w:top="1246" w:right="1019" w:bottom="1440" w:gutter="0" w:footer="0" w:header="0"/>
          <w:type w:val="continuous"/>
        </w:sectPr>
      </w:pPr>
    </w:p>
    <w:p>
      <w:pPr>
        <w:spacing w:after="0" w:line="4" w:lineRule="exact"/>
        <w:rPr>
          <w:sz w:val="20"/>
          <w:szCs w:val="20"/>
          <w:color w:val="auto"/>
        </w:rPr>
      </w:pPr>
    </w:p>
    <w:p>
      <w:pPr>
        <w:ind w:right="180"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0"/>
          <w:szCs w:val="20"/>
          <w:color w:val="auto"/>
        </w:rPr>
      </w:pPr>
    </w:p>
    <w:p>
      <w:pPr>
        <w:jc w:val="both"/>
        <w:ind w:right="10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0"/>
          <w:szCs w:val="20"/>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0"/>
          <w:szCs w:val="20"/>
          <w:color w:val="auto"/>
        </w:rPr>
      </w:pPr>
    </w:p>
    <w:p>
      <w:pPr>
        <w:jc w:val="both"/>
        <w:ind w:right="60" w:firstLine="259"/>
        <w:spacing w:after="0" w:line="249"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Class A common stock outstanding, other than shares held by persons who may be deemed affiliates of the registrant, computed by reference to the closing sales price for the Class A common stock on June 30, 2021, as reported on the Nasdaq Capital Market, was approximately $1,953,267,226.</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February 24, 2022 there were 196,480,077 shares of Class A common stock, $0.0001 par value, issued and outstanding.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22" w:lineRule="exact"/>
        <w:rPr>
          <w:sz w:val="20"/>
          <w:szCs w:val="20"/>
          <w:color w:val="auto"/>
        </w:rPr>
      </w:pPr>
    </w:p>
    <w:p>
      <w:pPr>
        <w:ind w:right="100" w:firstLine="243"/>
        <w:spacing w:after="0" w:line="258"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677545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1246" w:right="1019" w:bottom="144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9"/>
          </w:tcPr>
          <w:p>
            <w:pPr>
              <w:jc w:val="center"/>
              <w:ind w:right="1060"/>
              <w:spacing w:after="0"/>
              <w:rPr>
                <w:sz w:val="20"/>
                <w:szCs w:val="20"/>
                <w:color w:val="auto"/>
              </w:rPr>
            </w:pPr>
            <w:r>
              <w:rPr>
                <w:rFonts w:ascii="Arial" w:cs="Arial" w:eastAsia="Arial" w:hAnsi="Arial"/>
                <w:sz w:val="18"/>
                <w:szCs w:val="18"/>
                <w:b w:val="1"/>
                <w:bCs w:val="1"/>
                <w:color w:val="auto"/>
              </w:rPr>
              <w:t>INDEX</w:t>
            </w:r>
          </w:p>
        </w:tc>
        <w:tc>
          <w:tcPr>
            <w:tcW w:w="2820" w:type="dxa"/>
            <w:vAlign w:val="bottom"/>
          </w:tcPr>
          <w:p>
            <w:pPr>
              <w:spacing w:after="0"/>
              <w:rPr>
                <w:sz w:val="24"/>
                <w:szCs w:val="24"/>
                <w:color w:val="auto"/>
              </w:rPr>
            </w:pPr>
          </w:p>
        </w:tc>
      </w:tr>
      <w:tr>
        <w:trPr>
          <w:trHeight w:val="620"/>
        </w:trPr>
        <w:tc>
          <w:tcPr>
            <w:tcW w:w="20" w:type="dxa"/>
            <w:vAlign w:val="bottom"/>
          </w:tcPr>
          <w:p>
            <w:pPr>
              <w:spacing w:after="0"/>
              <w:rPr>
                <w:sz w:val="24"/>
                <w:szCs w:val="24"/>
                <w:color w:val="auto"/>
              </w:rPr>
            </w:pPr>
          </w:p>
        </w:tc>
        <w:tc>
          <w:tcPr>
            <w:tcW w:w="6080" w:type="dxa"/>
            <w:vAlign w:val="bottom"/>
            <w:gridSpan w:val="25"/>
          </w:tcPr>
          <w:p>
            <w:pPr>
              <w:spacing w:after="0"/>
              <w:rPr>
                <w:sz w:val="20"/>
                <w:szCs w:val="20"/>
                <w:color w:val="auto"/>
              </w:rPr>
            </w:pPr>
            <w:r>
              <w:rPr>
                <w:rFonts w:ascii="Arial" w:cs="Arial" w:eastAsia="Arial" w:hAnsi="Arial"/>
                <w:sz w:val="18"/>
                <w:szCs w:val="18"/>
                <w:b w:val="1"/>
                <w:bCs w:val="1"/>
                <w:color w:val="auto"/>
              </w:rPr>
              <w:t>PART I</w:t>
            </w:r>
          </w:p>
        </w:tc>
        <w:tc>
          <w:tcPr>
            <w:tcW w:w="28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080" w:type="dxa"/>
            <w:vAlign w:val="bottom"/>
            <w:gridSpan w:val="2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28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1A. Risk Factors</w:t>
              </w:r>
            </w:hyperlink>
          </w:p>
        </w:tc>
        <w:tc>
          <w:tcPr>
            <w:tcW w:w="4360" w:type="dxa"/>
            <w:vAlign w:val="bottom"/>
            <w:gridSpan w:val="18"/>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85"/>
        </w:trPr>
        <w:tc>
          <w:tcPr>
            <w:tcW w:w="2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Item 1B. Unresolved Staff Comments</w:t>
              </w:r>
            </w:hyperlink>
          </w:p>
        </w:tc>
        <w:tc>
          <w:tcPr>
            <w:tcW w:w="3120" w:type="dxa"/>
            <w:vAlign w:val="bottom"/>
            <w:gridSpan w:val="11"/>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5"/>
        </w:trPr>
        <w:tc>
          <w:tcPr>
            <w:tcW w:w="20" w:type="dxa"/>
            <w:vAlign w:val="bottom"/>
          </w:tcPr>
          <w:p>
            <w:pPr>
              <w:spacing w:after="0"/>
              <w:rPr>
                <w:sz w:val="24"/>
                <w:szCs w:val="24"/>
                <w:color w:val="auto"/>
              </w:rPr>
            </w:pPr>
          </w:p>
        </w:tc>
        <w:tc>
          <w:tcPr>
            <w:tcW w:w="14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Item 2. Properties</w:t>
              </w:r>
            </w:hyperlink>
          </w:p>
        </w:tc>
        <w:tc>
          <w:tcPr>
            <w:tcW w:w="4660" w:type="dxa"/>
            <w:vAlign w:val="bottom"/>
            <w:gridSpan w:val="20"/>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3. Legal Proceedings</w:t>
              </w:r>
            </w:hyperlink>
          </w:p>
        </w:tc>
        <w:tc>
          <w:tcPr>
            <w:tcW w:w="2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 Mine Safety Disclosures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26"/>
        </w:trPr>
        <w:tc>
          <w:tcPr>
            <w:tcW w:w="20" w:type="dxa"/>
            <w:vAlign w:val="bottom"/>
          </w:tcPr>
          <w:p>
            <w:pPr>
              <w:spacing w:after="0"/>
              <w:rPr>
                <w:sz w:val="24"/>
                <w:szCs w:val="24"/>
                <w:color w:val="auto"/>
              </w:rPr>
            </w:pPr>
          </w:p>
        </w:tc>
        <w:tc>
          <w:tcPr>
            <w:tcW w:w="252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PART II</w:t>
            </w:r>
          </w:p>
        </w:tc>
        <w:tc>
          <w:tcPr>
            <w:tcW w:w="3560" w:type="dxa"/>
            <w:vAlign w:val="bottom"/>
            <w:gridSpan w:val="14"/>
          </w:tcPr>
          <w:p>
            <w:pPr>
              <w:spacing w:after="0"/>
              <w:rPr>
                <w:sz w:val="24"/>
                <w:szCs w:val="24"/>
                <w:color w:val="auto"/>
              </w:rPr>
            </w:pPr>
          </w:p>
        </w:tc>
        <w:tc>
          <w:tcPr>
            <w:tcW w:w="28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08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Item 5. Market for Registrant’s Common Equity, Related Stockholder Matters</w:t>
              </w:r>
            </w:hyperlink>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080" w:type="dxa"/>
            <w:vAlign w:val="bottom"/>
            <w:gridSpan w:val="25"/>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and Issuer Purchases of Equity Securities</w:t>
              </w:r>
            </w:hyperlink>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385"/>
        </w:trPr>
        <w:tc>
          <w:tcPr>
            <w:tcW w:w="20" w:type="dxa"/>
            <w:vAlign w:val="bottom"/>
          </w:tcPr>
          <w:p>
            <w:pPr>
              <w:spacing w:after="0"/>
              <w:rPr>
                <w:sz w:val="24"/>
                <w:szCs w:val="24"/>
                <w:color w:val="auto"/>
              </w:rPr>
            </w:pPr>
          </w:p>
        </w:tc>
        <w:tc>
          <w:tcPr>
            <w:tcW w:w="3320" w:type="dxa"/>
            <w:vAlign w:val="bottom"/>
            <w:tcBorders>
              <w:top w:val="single" w:sz="8" w:color="0000EE"/>
            </w:tcBorders>
            <w:gridSpan w:val="1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6. Reserved</w:t>
              </w:r>
            </w:hyperlink>
          </w:p>
        </w:tc>
        <w:tc>
          <w:tcPr>
            <w:tcW w:w="2760" w:type="dxa"/>
            <w:vAlign w:val="bottom"/>
            <w:gridSpan w:val="10"/>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7. Management’s Discussion and Analysis of Financial Condition and</w:t>
              </w:r>
            </w:hyperlink>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8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Results of Operations</w:t>
              </w:r>
            </w:hyperlink>
          </w:p>
        </w:tc>
        <w:tc>
          <w:tcPr>
            <w:tcW w:w="200" w:type="dxa"/>
            <w:vAlign w:val="bottom"/>
            <w:gridSpan w:val="3"/>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7A. Quantitative and Qualitative Disclosures About Market Risk</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85"/>
        </w:trPr>
        <w:tc>
          <w:tcPr>
            <w:tcW w:w="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Item 8. Financial Statements and Supplementary Data</w:t>
              </w:r>
            </w:hyperlink>
          </w:p>
        </w:tc>
        <w:tc>
          <w:tcPr>
            <w:tcW w:w="1100" w:type="dxa"/>
            <w:vAlign w:val="bottom"/>
            <w:tcBorders>
              <w:top w:val="single" w:sz="8" w:color="0000EE"/>
            </w:tcBorders>
            <w:gridSpan w:val="2"/>
          </w:tcPr>
          <w:p>
            <w:pPr>
              <w:spacing w:after="0"/>
              <w:rPr>
                <w:sz w:val="24"/>
                <w:szCs w:val="24"/>
                <w:color w:val="auto"/>
              </w:rPr>
            </w:pPr>
          </w:p>
        </w:tc>
        <w:tc>
          <w:tcPr>
            <w:tcW w:w="660" w:type="dxa"/>
            <w:vAlign w:val="bottom"/>
            <w:gridSpan w:val="5"/>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w w:val="99"/>
              </w:rPr>
            </w:pPr>
            <w:hyperlink w:anchor="page94">
              <w:r>
                <w:rPr>
                  <w:rFonts w:ascii="Arial" w:cs="Arial" w:eastAsia="Arial" w:hAnsi="Arial"/>
                  <w:sz w:val="18"/>
                  <w:szCs w:val="18"/>
                  <w:color w:val="0000EE"/>
                  <w:w w:val="99"/>
                </w:rPr>
                <w:t>Item 9. Changes in and Disagreements with Accountants on Accounting and</w:t>
              </w:r>
            </w:hyperlink>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Financial Disclosure</w:t>
              </w:r>
            </w:hyperlink>
          </w:p>
        </w:tc>
        <w:tc>
          <w:tcPr>
            <w:tcW w:w="20" w:type="dxa"/>
            <w:vAlign w:val="bottom"/>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Item 9A. Controls and Procedures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85"/>
        </w:trPr>
        <w:tc>
          <w:tcPr>
            <w:tcW w:w="2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8"/>
              </w:rPr>
            </w:pPr>
            <w:hyperlink w:anchor="page96">
              <w:r>
                <w:rPr>
                  <w:rFonts w:ascii="Arial" w:cs="Arial" w:eastAsia="Arial" w:hAnsi="Arial"/>
                  <w:sz w:val="18"/>
                  <w:szCs w:val="18"/>
                  <w:color w:val="0000EE"/>
                  <w:w w:val="98"/>
                </w:rPr>
                <w:t>Item 9B. Other Information</w:t>
              </w:r>
            </w:hyperlink>
          </w:p>
        </w:tc>
        <w:tc>
          <w:tcPr>
            <w:tcW w:w="580" w:type="dxa"/>
            <w:vAlign w:val="bottom"/>
            <w:tcBorders>
              <w:top w:val="single" w:sz="8" w:color="0000EE"/>
            </w:tcBorders>
            <w:gridSpan w:val="4"/>
          </w:tcPr>
          <w:p>
            <w:pPr>
              <w:spacing w:after="0"/>
              <w:rPr>
                <w:sz w:val="24"/>
                <w:szCs w:val="24"/>
                <w:color w:val="auto"/>
              </w:rPr>
            </w:pPr>
          </w:p>
        </w:tc>
        <w:tc>
          <w:tcPr>
            <w:tcW w:w="3380" w:type="dxa"/>
            <w:vAlign w:val="bottom"/>
            <w:gridSpan w:val="12"/>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26"/>
        </w:trPr>
        <w:tc>
          <w:tcPr>
            <w:tcW w:w="20" w:type="dxa"/>
            <w:vAlign w:val="bottom"/>
          </w:tcPr>
          <w:p>
            <w:pPr>
              <w:spacing w:after="0"/>
              <w:rPr>
                <w:sz w:val="24"/>
                <w:szCs w:val="24"/>
                <w:color w:val="auto"/>
              </w:rPr>
            </w:pPr>
          </w:p>
        </w:tc>
        <w:tc>
          <w:tcPr>
            <w:tcW w:w="6080" w:type="dxa"/>
            <w:vAlign w:val="bottom"/>
            <w:gridSpan w:val="25"/>
          </w:tcPr>
          <w:p>
            <w:pPr>
              <w:spacing w:after="0"/>
              <w:rPr>
                <w:sz w:val="20"/>
                <w:szCs w:val="20"/>
                <w:color w:val="auto"/>
              </w:rPr>
            </w:pPr>
            <w:r>
              <w:rPr>
                <w:rFonts w:ascii="Arial" w:cs="Arial" w:eastAsia="Arial" w:hAnsi="Arial"/>
                <w:sz w:val="18"/>
                <w:szCs w:val="18"/>
                <w:b w:val="1"/>
                <w:bCs w:val="1"/>
                <w:color w:val="auto"/>
              </w:rPr>
              <w:t>PART III</w:t>
            </w:r>
          </w:p>
        </w:tc>
        <w:tc>
          <w:tcPr>
            <w:tcW w:w="28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10. Directors, Executive Officers and Corporate Governance</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85"/>
        </w:trPr>
        <w:tc>
          <w:tcPr>
            <w:tcW w:w="20" w:type="dxa"/>
            <w:vAlign w:val="bottom"/>
          </w:tcPr>
          <w:p>
            <w:pPr>
              <w:spacing w:after="0"/>
              <w:rPr>
                <w:sz w:val="24"/>
                <w:szCs w:val="24"/>
                <w:color w:val="auto"/>
              </w:rPr>
            </w:pPr>
          </w:p>
        </w:tc>
        <w:tc>
          <w:tcPr>
            <w:tcW w:w="5180" w:type="dxa"/>
            <w:vAlign w:val="bottom"/>
            <w:tcBorders>
              <w:top w:val="single" w:sz="8" w:color="0000EE"/>
            </w:tcBorders>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11. Executive Compensation</w:t>
              </w:r>
            </w:hyperlink>
          </w:p>
        </w:tc>
        <w:tc>
          <w:tcPr>
            <w:tcW w:w="900" w:type="dxa"/>
            <w:vAlign w:val="bottom"/>
            <w:gridSpan w:val="6"/>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4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Item 12. Security Ownership of Certain Beneficial Owners and Management</w:t>
              </w:r>
            </w:hyperlink>
          </w:p>
        </w:tc>
        <w:tc>
          <w:tcPr>
            <w:tcW w:w="40" w:type="dxa"/>
            <w:vAlign w:val="bottom"/>
            <w:gridSpan w:val="2"/>
          </w:tcPr>
          <w:p>
            <w:pPr>
              <w:spacing w:after="0"/>
              <w:rPr>
                <w:sz w:val="24"/>
                <w:szCs w:val="24"/>
                <w:color w:val="auto"/>
              </w:rPr>
            </w:pPr>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68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and Related Stockholder Matters</w:t>
              </w:r>
            </w:hyperlink>
          </w:p>
        </w:tc>
        <w:tc>
          <w:tcPr>
            <w:tcW w:w="3400" w:type="dxa"/>
            <w:vAlign w:val="bottom"/>
            <w:gridSpan w:val="13"/>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385"/>
        </w:trPr>
        <w:tc>
          <w:tcPr>
            <w:tcW w:w="20" w:type="dxa"/>
            <w:vAlign w:val="bottom"/>
          </w:tcPr>
          <w:p>
            <w:pPr>
              <w:spacing w:after="0"/>
              <w:rPr>
                <w:sz w:val="24"/>
                <w:szCs w:val="24"/>
                <w:color w:val="auto"/>
              </w:rPr>
            </w:pPr>
          </w:p>
        </w:tc>
        <w:tc>
          <w:tcPr>
            <w:tcW w:w="55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Item 13. Certain Relationships and Related Transactions, and Director</w:t>
              </w:r>
            </w:hyperlink>
          </w:p>
        </w:tc>
        <w:tc>
          <w:tcPr>
            <w:tcW w:w="500" w:type="dxa"/>
            <w:vAlign w:val="bottom"/>
            <w:gridSpan w:val="4"/>
          </w:tcPr>
          <w:p>
            <w:pPr>
              <w:spacing w:after="0"/>
              <w:rPr>
                <w:sz w:val="24"/>
                <w:szCs w:val="24"/>
                <w:color w:val="auto"/>
              </w:rPr>
            </w:pPr>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4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Independence</w:t>
              </w:r>
            </w:hyperlink>
          </w:p>
        </w:tc>
        <w:tc>
          <w:tcPr>
            <w:tcW w:w="4940" w:type="dxa"/>
            <w:vAlign w:val="bottom"/>
            <w:gridSpan w:val="24"/>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14. Principal Accounting Fees and Services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25"/>
        </w:trPr>
        <w:tc>
          <w:tcPr>
            <w:tcW w:w="20" w:type="dxa"/>
            <w:vAlign w:val="bottom"/>
          </w:tcPr>
          <w:p>
            <w:pPr>
              <w:spacing w:after="0"/>
              <w:rPr>
                <w:sz w:val="24"/>
                <w:szCs w:val="24"/>
                <w:color w:val="auto"/>
              </w:rPr>
            </w:pPr>
          </w:p>
        </w:tc>
        <w:tc>
          <w:tcPr>
            <w:tcW w:w="3860" w:type="dxa"/>
            <w:vAlign w:val="bottom"/>
            <w:tcBorders>
              <w:top w:val="single" w:sz="8" w:color="0000EE"/>
            </w:tcBorders>
            <w:gridSpan w:val="16"/>
          </w:tcPr>
          <w:p>
            <w:pPr>
              <w:spacing w:after="0"/>
              <w:rPr>
                <w:sz w:val="20"/>
                <w:szCs w:val="20"/>
                <w:color w:val="auto"/>
              </w:rPr>
            </w:pPr>
            <w:r>
              <w:rPr>
                <w:rFonts w:ascii="Arial" w:cs="Arial" w:eastAsia="Arial" w:hAnsi="Arial"/>
                <w:sz w:val="18"/>
                <w:szCs w:val="18"/>
                <w:b w:val="1"/>
                <w:bCs w:val="1"/>
                <w:color w:val="auto"/>
              </w:rPr>
              <w:t>PART IV</w:t>
            </w:r>
          </w:p>
        </w:tc>
        <w:tc>
          <w:tcPr>
            <w:tcW w:w="2220" w:type="dxa"/>
            <w:vAlign w:val="bottom"/>
            <w:gridSpan w:val="9"/>
          </w:tcPr>
          <w:p>
            <w:pPr>
              <w:spacing w:after="0"/>
              <w:rPr>
                <w:sz w:val="24"/>
                <w:szCs w:val="24"/>
                <w:color w:val="auto"/>
              </w:rPr>
            </w:pPr>
          </w:p>
        </w:tc>
        <w:tc>
          <w:tcPr>
            <w:tcW w:w="28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15. Exhibits and Financial Statement Schedules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85"/>
        </w:trPr>
        <w:tc>
          <w:tcPr>
            <w:tcW w:w="2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8"/>
              </w:rPr>
            </w:pPr>
            <w:hyperlink w:anchor="page102">
              <w:r>
                <w:rPr>
                  <w:rFonts w:ascii="Arial" w:cs="Arial" w:eastAsia="Arial" w:hAnsi="Arial"/>
                  <w:sz w:val="18"/>
                  <w:szCs w:val="18"/>
                  <w:color w:val="0000EE"/>
                  <w:w w:val="98"/>
                </w:rPr>
                <w:t>Item 16. Form 10-K Summary</w:t>
              </w:r>
            </w:hyperlink>
          </w:p>
        </w:tc>
        <w:tc>
          <w:tcPr>
            <w:tcW w:w="1840" w:type="dxa"/>
            <w:vAlign w:val="bottom"/>
            <w:tcBorders>
              <w:top w:val="single" w:sz="8" w:color="0000EE"/>
            </w:tcBorders>
            <w:gridSpan w:val="7"/>
          </w:tcPr>
          <w:p>
            <w:pPr>
              <w:spacing w:after="0"/>
              <w:rPr>
                <w:sz w:val="24"/>
                <w:szCs w:val="24"/>
                <w:color w:val="auto"/>
              </w:rPr>
            </w:pPr>
          </w:p>
        </w:tc>
        <w:tc>
          <w:tcPr>
            <w:tcW w:w="1880" w:type="dxa"/>
            <w:vAlign w:val="bottom"/>
            <w:gridSpan w:val="8"/>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95"/>
        </w:trPr>
        <w:tc>
          <w:tcPr>
            <w:tcW w:w="52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“perhaps,”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the industry in which we operate, and any other statements that are not statements of current or historical facts.</w:t>
      </w:r>
    </w:p>
    <w:p>
      <w:pPr>
        <w:spacing w:after="0" w:line="19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 and the following:</w:t>
      </w:r>
    </w:p>
    <w:p>
      <w:pPr>
        <w:spacing w:after="0" w:line="191" w:lineRule="exact"/>
        <w:rPr>
          <w:sz w:val="20"/>
          <w:szCs w:val="20"/>
          <w:color w:val="auto"/>
        </w:rPr>
      </w:pPr>
    </w:p>
    <w:p>
      <w:pPr>
        <w:ind w:left="720" w:right="1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consummate and realize the benefits from our pending transactions with Foxconn under the Asset Purchase Agreement (as described in Part I - Item 1. Business - Overview), that is subject to various conditions to closing, including the entry into a contract manufacturing agreement and the receipt of regulatory approvals, and our ability to enter into a joint product development agreement or similar agreement with an appropriate funding structure;</w:t>
      </w:r>
    </w:p>
    <w:p>
      <w:pPr>
        <w:spacing w:after="0" w:line="3" w:lineRule="exact"/>
        <w:rPr>
          <w:rFonts w:ascii="Arial" w:cs="Arial" w:eastAsia="Arial" w:hAnsi="Arial"/>
          <w:sz w:val="16"/>
          <w:szCs w:val="16"/>
          <w:color w:val="auto"/>
        </w:rPr>
      </w:pPr>
    </w:p>
    <w:p>
      <w:pPr>
        <w:ind w:left="720" w:right="35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well in advance of our target of third quarter 2022 for the start of commercial production and sale of the Endurance, and our ability to raise such funding on a reasonable timeline and with suitable terms;</w:t>
      </w:r>
    </w:p>
    <w:p>
      <w:pPr>
        <w:spacing w:after="0" w:line="2" w:lineRule="exact"/>
        <w:rPr>
          <w:rFonts w:ascii="Arial" w:cs="Arial" w:eastAsia="Arial" w:hAnsi="Arial"/>
          <w:sz w:val="16"/>
          <w:szCs w:val="16"/>
          <w:color w:val="auto"/>
        </w:rPr>
      </w:pPr>
    </w:p>
    <w:p>
      <w:pPr>
        <w:ind w:left="720" w:right="2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raise sufficient capital in the future in order to invest in the tooling that we expect will enable us to eventually lower the Endurance bill of materials cost, continued design enhancements of the Endurance and any future vehicles we may develop;</w:t>
      </w:r>
    </w:p>
    <w:p>
      <w:pPr>
        <w:spacing w:after="0" w:line="2" w:lineRule="exact"/>
        <w:rPr>
          <w:rFonts w:ascii="Arial" w:cs="Arial" w:eastAsia="Arial" w:hAnsi="Arial"/>
          <w:sz w:val="16"/>
          <w:szCs w:val="16"/>
          <w:color w:val="auto"/>
        </w:rPr>
      </w:pPr>
    </w:p>
    <w:p>
      <w:pPr>
        <w:ind w:left="720" w:right="49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cost and other impacts of litigation, regulatory proceedings, investigations, complaints, product liability claims and/or adverse publicity, which may have a material adverse effect, whether or not successful or valid, on our business prospects and ability to obtain financing;</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execute our business plan, including market acceptance of our planned products;</w:t>
      </w:r>
    </w:p>
    <w:p>
      <w:pPr>
        <w:ind w:left="720" w:right="11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3" w:lineRule="exact"/>
        <w:rPr>
          <w:rFonts w:ascii="Arial" w:cs="Arial" w:eastAsia="Arial" w:hAnsi="Arial"/>
          <w:sz w:val="16"/>
          <w:szCs w:val="16"/>
          <w:color w:val="auto"/>
        </w:rPr>
      </w:pPr>
    </w:p>
    <w:p>
      <w:pPr>
        <w:ind w:left="720" w:right="9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jc w:val="both"/>
        <w:ind w:left="720" w:right="339"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99" w:hanging="319"/>
        <w:spacing w:after="0" w:line="248"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19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2" w:lineRule="exact"/>
        <w:rPr>
          <w:rFonts w:ascii="Arial" w:cs="Arial" w:eastAsia="Arial" w:hAnsi="Arial"/>
          <w:sz w:val="16"/>
          <w:szCs w:val="16"/>
          <w:color w:val="auto"/>
        </w:rPr>
      </w:pPr>
    </w:p>
    <w:p>
      <w:pPr>
        <w:ind w:left="720" w:right="29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business, expansion plans, strategic alliances and opportunities;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right="6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 w:lineRule="exact"/>
        <w:rPr>
          <w:rFonts w:ascii="Arial" w:cs="Arial" w:eastAsia="Arial" w:hAnsi="Arial"/>
          <w:sz w:val="16"/>
          <w:szCs w:val="16"/>
          <w:color w:val="auto"/>
        </w:rPr>
      </w:pPr>
    </w:p>
    <w:p>
      <w:pPr>
        <w:ind w:left="720" w:right="1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cybersecurity threats and compliance with privacy and data protection laws;</w:t>
      </w:r>
    </w:p>
    <w:p>
      <w:pPr>
        <w:ind w:left="720" w:right="2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1" w:lineRule="exact"/>
        <w:rPr>
          <w:rFonts w:ascii="Arial" w:cs="Arial" w:eastAsia="Arial" w:hAnsi="Arial"/>
          <w:sz w:val="16"/>
          <w:szCs w:val="16"/>
          <w:color w:val="auto"/>
        </w:rPr>
      </w:pPr>
    </w:p>
    <w:p>
      <w:pPr>
        <w:ind w:left="720" w:right="57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1" w:lineRule="exact"/>
        <w:rPr>
          <w:rFonts w:ascii="Arial" w:cs="Arial" w:eastAsia="Arial" w:hAnsi="Arial"/>
          <w:sz w:val="16"/>
          <w:szCs w:val="16"/>
          <w:color w:val="auto"/>
        </w:rPr>
      </w:pPr>
    </w:p>
    <w:p>
      <w:pPr>
        <w:ind w:left="720" w:right="359" w:hanging="319"/>
        <w:spacing w:after="0" w:line="274"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other risks and uncertainties described in this report, including those under the section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that may be set forth in any subsequent filing, including under any similar caption.</w:t>
      </w:r>
    </w:p>
    <w:p>
      <w:pPr>
        <w:spacing w:after="0" w:line="16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unless specifically expressed as such, and should only be viewed as historical data.</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Unless the context indicates otherwise, references in this report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the Business Combination (as defined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electric vehicle (“EV”) innovator focused on developing high-quality light-duty work vehicles. We believe we are one of the only North American light duty original equipment manufacturers (“OEMs”) focused solely on EVs for commercial fleet customers. We believe the large commercial fleet market presents a unique opportunity to target with vehicles designed specifically for the needs of these customers. We are implementing a strategy designed to accelerate the launch of new commercial EVs. This includes working on our own vehicle programs as well as partnering with third parties as we seek to leverage our experience, our proprietary and open-source technologies and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existing vehicle platform to more efficiently develop and launch electric vehicles, to enhance capital efficiency and achieve profitability sooner.</w:t>
      </w:r>
    </w:p>
    <w:p>
      <w:pPr>
        <w:spacing w:after="0" w:line="18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We are building pre-production vehicles (“PPV”) for testing, validation, certification, and regulatory approvals during the first half of 2022. Subject to raising sufficient capital, completion of the transactions under the Asset Purchase Agreement with Foxconn (discussed below), and satisfactory completion of testing and receipt of regulatory approvals, we expect commercial production and sales of the Endurance to begin in the third quarter of 2022. We intend to leverage our advanced technologies and highly talented team to develop additional all-electric vehicles targeted for the commercial market.</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November 2019 we acquired the 6.2 million square feet Lordstown, Ohio assembly complex from General Motors (“GM”). The facility was in a near-production-ready state, with manufacturing lines and equipment already in place. Since acquiring the plant we have hired more than 430 employees to work in the facility, many of whom were long tenured former GM employees at the Lordstown facility. We have invested approximately $173 million through December 31, 2021 to facilitate the conversion of the plant from manufacturing a high-volume internal combustion engine passenger car to an advanced full-size EV pickup truck plant. Our investments include purchasing the equipment necessary to scale manufacturing and assemble hub motors and battery packs. We have also hired highly experienced new executives, engineering and broader corporate talent to help us execute our plan. These new personnel bring proven track records executing large scale vehicle launches, extensive experience in automotive design and engineering as well as operational and strategic know-how to lead our organization through our transformation and into the future.</w:t>
      </w:r>
    </w:p>
    <w:p>
      <w:pPr>
        <w:spacing w:after="0" w:line="191" w:lineRule="exact"/>
        <w:rPr>
          <w:sz w:val="20"/>
          <w:szCs w:val="20"/>
          <w:color w:val="auto"/>
        </w:rPr>
      </w:pPr>
    </w:p>
    <w:p>
      <w:pPr>
        <w:ind w:left="60" w:right="519"/>
        <w:spacing w:after="0" w:line="257" w:lineRule="auto"/>
        <w:rPr>
          <w:sz w:val="20"/>
          <w:szCs w:val="20"/>
          <w:color w:val="auto"/>
        </w:rPr>
      </w:pPr>
      <w:r>
        <w:rPr>
          <w:rFonts w:ascii="Arial" w:cs="Arial" w:eastAsia="Arial" w:hAnsi="Arial"/>
          <w:sz w:val="17"/>
          <w:szCs w:val="17"/>
          <w:color w:val="auto"/>
        </w:rPr>
        <w:t>In the fourth quarter of 2021, we entered into agreements with affiliates of Hon Hai Technology Group (“Foxconn”), as described below, that would result in more than $280 million in funding for the Company, if consummated. We have already received $200 million from Foxconn as of January 28, 2022 in the form of down payments under the Asset Purchase Agreement and for the purchase of our Class A common stock.</w:t>
      </w:r>
    </w:p>
    <w:p>
      <w:pPr>
        <w:spacing w:after="0" w:line="17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November 10, 2021, we entered into an Asset Purchase Agreement (the “APA” or “Asset Purchase Agreement”) with Foxconn EV Technology, Inc., an Ohio corporation (“Foxconn Ohio”). Pursuant to the APA, Foxconn Ohio will purchase the Lordstown facility for $230 million and reimburse certain operating and expansion costs incurred by us from September 1, 2021 through the closing. We would continue to own our hub motor assembly line, as well as our battery module and packing line assets, certain intellectual property rights and other excluded assets. We expect to outsource all of the manufacturing of the Endurance to Foxconn with the sale of our Lordstown facility, including the operation of the assets we continue to own in the facility after closing under a Contract Manufacturing Agreement (defined under “—Foxconn Transactions” below). As noted above, Foxconn Ohio has made down payments of the purchase price of $100 million on November 18, 2021 and $50 million on January 28, 2022. Foxconn Ohio is required to make an additional down payment of $50 million no later than April 15, 2022, subject to certain conditions. The balance of the purchase price, along with reimbursement of certain operating and expansion costs would be paid at closing. If the APA is terminated or if the transaction does not close prior to the later of (i) April 30, 2022 and (ii) 10 days after the transaction is cleared by the Committee on Foreign Investment in the United States (“CFIUS”), we are obligated to repay the down payments to Foxconn. We have granted Foxconn a first priority security interest in substantially all of our assets to secure the repayment obligation. In addition to the $150 million in down payments under the APA, we issued $50 million of our Class A common stock to Foxconn at a price of $6.8983 per share on October 12, 2021, pursuant to a separate subscription agreement. The APA is subject to certain conditions and has not been consummated as of the date of the filing of this report. No assurance can be made that it will ultimately be consummated on the terms contemplated, or at all.</w:t>
      </w:r>
    </w:p>
    <w:p>
      <w:pPr>
        <w:spacing w:after="0" w:line="19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transactions contemplated by the Asset Purchase Agreement (“Foxconn Transactions”) and other potential relationships with Foxconn (see Part I – Item 1. Business —Foxconn Transactions), if achieved, would represent a shift in our business strategy from a fully vertically integrated designer, developer and manufacturer of EVs into a less capital-intensive business focused on developing, engineering, testing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industrializing vehicles in partnership with Foxconn. The sale of the Lordstown facility would allow us to meaningfully reduce our operating complexity and fixed cost structure by transferring to Foxconn the current and future manufacturing employees along with fixed overhead costs, such as maintenance, utilities, insurance and more. Foxconn is one of the world’s largest manufacturers with unique experience scaling operations and an announced strategy to establish a presence in the global EV market. We believe that outsourcing our manufacturing to a highly qualified partner would enable us to leverage Foxconn’s technology, supply chain network and expertise to accelerate the launch of current and future vehicle programs. Furthermore, we believe we would realize the benefits of scaled manufacturing sooner as Foxconn contracts with other OEMs to produce their vehicles in the Lordstown facility.</w:t>
      </w:r>
    </w:p>
    <w:p>
      <w:pPr>
        <w:spacing w:after="0" w:line="193"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Under the APA, the parties agreed to use commercially reasonable efforts to enter into a joint venture agreement for the purpose of jointly designing, engineering, developing, validating and launching vehicle programs for the commercial vehicle market in North America and internationally using Foxconn’s Mobility-in-Harmony (“MIH”) platform. The MIH platform will allow multiple OEMs to create a variety of electric vehicle types using a shared hardware and software architecture and manufacturing process. The sharing of these foundational subsystems, components, and processes is expected to enable new vehicles to be brought to market faster and at a lower cost, aligning with our mission to accelerate electric vehicle development and adoption.</w:t>
      </w:r>
    </w:p>
    <w:p>
      <w:pPr>
        <w:spacing w:after="0" w:line="19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We are actively discussing establishing a joint product development agreement with Foxconn, under which we would seek to use the MIH platform to develop a portfolio of electric vehicles targeting our commercial fleet customers to be built at the Lordstown, Ohio plant. If successful,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the Lordstown Facility Lease,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 See Part I - Item 1. Business —Foxconn Transactions and Part I - Item 1A. Risk Factors for further discussion of the risks associated with the Foxconn Transactions and other related agreements being contemplated, including a joint product development agreement, and our need to raise additional capital.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Strengths and Strategy</w:t>
      </w:r>
    </w:p>
    <w:p>
      <w:pPr>
        <w:spacing w:after="0" w:line="220"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We seek to capture a meaningful share of the commercial fleet electric vehicle market and intend to do so by focusing on the following strengths:</w:t>
      </w:r>
    </w:p>
    <w:p>
      <w:pPr>
        <w:spacing w:after="0" w:line="161" w:lineRule="exact"/>
        <w:rPr>
          <w:sz w:val="20"/>
          <w:szCs w:val="20"/>
          <w:color w:val="auto"/>
        </w:rPr>
      </w:pPr>
    </w:p>
    <w:p>
      <w:pPr>
        <w:ind w:left="720" w:right="79" w:hanging="319"/>
        <w:spacing w:after="0" w:line="24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Near-production-ready plant to build electric vehicles and strategic location. </w:t>
      </w:r>
      <w:r>
        <w:rPr>
          <w:rFonts w:ascii="Arial" w:cs="Arial" w:eastAsia="Arial" w:hAnsi="Arial"/>
          <w:sz w:val="18"/>
          <w:szCs w:val="18"/>
          <w:color w:val="auto"/>
        </w:rPr>
        <w:t>The Lordstown</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is one of the largest automotive assembly plants in North America and is in a near-production-ready state. We acquired the plant for approximately $45 million and have invested approximately $173 million as of December 31, 2021 to facilitate the conversion of the plant from manufacturing a high-volume internal combustion engine passenger car, to an advanced full-size EV pickup truck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99"/>
        <w:spacing w:after="0" w:line="236" w:lineRule="auto"/>
        <w:rPr>
          <w:sz w:val="20"/>
          <w:szCs w:val="20"/>
          <w:color w:val="auto"/>
        </w:rPr>
      </w:pPr>
      <w:r>
        <w:rPr>
          <w:rFonts w:ascii="Arial" w:cs="Arial" w:eastAsia="Arial" w:hAnsi="Arial"/>
          <w:sz w:val="18"/>
          <w:szCs w:val="18"/>
          <w:color w:val="auto"/>
        </w:rPr>
        <w:t>plant. The Foxconn Transactions would result in the sale of the plant for $230 million. We anticipate a substantial gain on the sale of the plant, as the $173 million of investments in the facility as of December 31, 2021 include our large investments in our battery and in-wheel hub motor lines that are not being sold to Foxconn. Completion of the sale would allow us to generate liquidity at a premium to our investment, partner with Foxconn, and reduce our operating complexity and fixed cost structure. As a condition to the closing of the transaction, we plan to enter into a Contract Manufacturing Agreement to outsource to Foxconn the continued production of the Endurance at the plant. The Lordstown facility is strategically located in Lordstown, Ohio, near the major interstate highway between Cleveland, Ohio, and Pittsburgh, Pennsylvania. Lordstown, Ohio, and the surrounding area is home to a highly trained workforce with experience manufacturing vehicles, as well as an extensive automotive supply base.</w:t>
      </w:r>
    </w:p>
    <w:p>
      <w:pPr>
        <w:spacing w:after="0" w:line="170" w:lineRule="exact"/>
        <w:rPr>
          <w:sz w:val="20"/>
          <w:szCs w:val="20"/>
          <w:color w:val="auto"/>
        </w:rPr>
      </w:pPr>
    </w:p>
    <w:p>
      <w:pPr>
        <w:ind w:left="720" w:right="239" w:hanging="319"/>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Endurance has a unique and efficient design featuring proven in-wheel hub motor, battery pack and powertrain technologies. </w:t>
      </w:r>
      <w:r>
        <w:rPr>
          <w:rFonts w:ascii="Arial" w:cs="Arial" w:eastAsia="Arial" w:hAnsi="Arial"/>
          <w:sz w:val="18"/>
          <w:szCs w:val="18"/>
          <w:color w:val="auto"/>
        </w:rPr>
        <w:t>The technology and engineering developed by us to date have</w:t>
      </w:r>
      <w:r>
        <w:rPr>
          <w:rFonts w:ascii="Arial" w:cs="Arial" w:eastAsia="Arial" w:hAnsi="Arial"/>
          <w:sz w:val="18"/>
          <w:szCs w:val="18"/>
          <w:b w:val="1"/>
          <w:bCs w:val="1"/>
          <w:color w:val="auto"/>
        </w:rPr>
        <w:t xml:space="preserve"> </w:t>
      </w:r>
      <w:r>
        <w:rPr>
          <w:rFonts w:ascii="Arial" w:cs="Arial" w:eastAsia="Arial" w:hAnsi="Arial"/>
          <w:sz w:val="18"/>
          <w:szCs w:val="18"/>
          <w:color w:val="auto"/>
        </w:rPr>
        <w:t>led to operational prototype, beta and pre-production vehicles that have been or are being tested to meet commercial fleet performance standards and regulatory requirements. The design of the Endurance features in-wheel hub motors, that eliminate the need for many parts found in both traditional and existing electric vehicles. In addition, the in-wheel hub motors contribute to the Endurance’s advanced traction handling and maneuverability, features that are important to commercial fleet customers. As a result, we believe that the Endurance will have among the fewest moving parts of any highway-capable production vehicle ever produced. We believe this design will deliver the performance, range and safety commercial fleets seek, while meaningfully reducing total cost of ownership compared to internal combustion engine vehicles due to lower operating and maintenance costs.</w:t>
      </w:r>
    </w:p>
    <w:p>
      <w:pPr>
        <w:spacing w:after="0" w:line="169" w:lineRule="exact"/>
        <w:rPr>
          <w:rFonts w:ascii="Arial" w:cs="Arial" w:eastAsia="Arial" w:hAnsi="Arial"/>
          <w:sz w:val="18"/>
          <w:szCs w:val="18"/>
          <w:color w:val="auto"/>
        </w:rPr>
      </w:pPr>
    </w:p>
    <w:p>
      <w:pPr>
        <w:ind w:left="720" w:right="99" w:hanging="319"/>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Significant opportunity exists in the commercial fleet market. </w:t>
      </w:r>
      <w:r>
        <w:rPr>
          <w:rFonts w:ascii="Arial" w:cs="Arial" w:eastAsia="Arial" w:hAnsi="Arial"/>
          <w:sz w:val="18"/>
          <w:szCs w:val="18"/>
          <w:color w:val="auto"/>
        </w:rPr>
        <w:t>We believe we are one of the only</w:t>
      </w:r>
      <w:r>
        <w:rPr>
          <w:rFonts w:ascii="Arial" w:cs="Arial" w:eastAsia="Arial" w:hAnsi="Arial"/>
          <w:sz w:val="18"/>
          <w:szCs w:val="18"/>
          <w:b w:val="1"/>
          <w:bCs w:val="1"/>
          <w:color w:val="auto"/>
        </w:rPr>
        <w:t xml:space="preserve"> </w:t>
      </w:r>
      <w:r>
        <w:rPr>
          <w:rFonts w:ascii="Arial" w:cs="Arial" w:eastAsia="Arial" w:hAnsi="Arial"/>
          <w:sz w:val="18"/>
          <w:szCs w:val="18"/>
          <w:color w:val="auto"/>
        </w:rPr>
        <w:t>pure play light duty EV OEMs focused solely on commercial fleets. We believe there is significant demand in the commercial segment for EVs that will remain unmet for several years. Beginning with the Endurance, we believe designing vehicles with the functionality and particular needs of this market in mind, we will build strong customer relationships with fleet operators and companies that rent or lease vehicles to fleet operators to accelerate EV penetration. We believe that fleet operators will be drawn to the lower total cost of ownership of electric vehicles as opposed to the higher initial purchase price, which has been a factor limiting the pace of adoption of electric vehicles. We also believe that fleet usage, which in many cases may involve multiple shorter trips within range of a central base, rather than long-distance travel, can reduce the range anxiety that has also been a limiting factor in electric vehicle adoption. As a result, we expect strong demand for safe, reliable electric vehicles with a significantly reduced total cost of ownership and believe the Endurance and future programs will provide the opportunity for us to capture meaningful share in this market.</w:t>
      </w:r>
    </w:p>
    <w:p>
      <w:pPr>
        <w:spacing w:after="0" w:line="166" w:lineRule="exact"/>
        <w:rPr>
          <w:rFonts w:ascii="Arial" w:cs="Arial" w:eastAsia="Arial" w:hAnsi="Arial"/>
          <w:sz w:val="18"/>
          <w:szCs w:val="18"/>
          <w:color w:val="auto"/>
        </w:rPr>
      </w:pPr>
    </w:p>
    <w:p>
      <w:pPr>
        <w:ind w:left="720" w:right="79" w:hanging="319"/>
        <w:spacing w:after="0" w:line="23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Proven team with deep experience in vehicle development and engineering and operations</w:t>
      </w:r>
      <w:r>
        <w:rPr>
          <w:rFonts w:ascii="Arial" w:cs="Arial" w:eastAsia="Arial" w:hAnsi="Arial"/>
          <w:sz w:val="18"/>
          <w:szCs w:val="18"/>
          <w:color w:val="auto"/>
        </w:rPr>
        <w:t>. Our</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 team has extensive and diverse experience in the automotive and electric vehicle industries. During 2021, we added several highly accomplished executives to our team, including our Chief Executive Officer, President, Chief Financial Officer, Chief Commercial Officer, General Counsel and Senior Vice President of Operations, along with other key personnel throughout the organization. Our leaders are industry veterans, having executed strategic transformations and successfully designed, developed and launched numerous new vehicle programs at multiple OEMs and tier 1 suppliers. For example, our Chief Executive Officer has previously served as a chief executive officer at a leading investment firm, and chief executive officer, senior executive or board member at multiple automotive companies. Our President has over 30 years of experience serving in product development, engineering, manufacturing, commercial, and senior executive roles between Ford, BMW, and GM. He led GM’s $15 billion global crossovers business as the Executive Chief Engineer and Vehicle Line Executive. Our Senior Vice President, Operations has over 25 years of experience in the automotive industry, including serving as Vehicle Launch Leader at Ford. Our VP of Engineering has over 30 years’ experience in product development at multiple OEMs and suppliers,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19"/>
        <w:spacing w:after="0"/>
        <w:rPr>
          <w:sz w:val="20"/>
          <w:szCs w:val="20"/>
          <w:color w:val="auto"/>
        </w:rPr>
      </w:pPr>
      <w:r>
        <w:rPr>
          <w:rFonts w:ascii="Arial" w:cs="Arial" w:eastAsia="Arial" w:hAnsi="Arial"/>
          <w:sz w:val="18"/>
          <w:szCs w:val="18"/>
          <w:color w:val="auto"/>
        </w:rPr>
        <w:t>including GM and Delphi. Our team possesses a deliberate, calculated vision to design, develop and produce commercial electric vehicle platforms and to lead us towards commercial production and sales growth.</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Foxconn Transactions</w:t>
      </w:r>
    </w:p>
    <w:p>
      <w:pPr>
        <w:spacing w:after="0" w:line="22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disclosed in our Current Report on Form 8-K filed on November 10, 2021, we entered into the Asset Purchase Agreement with Foxconn Ohio. Pursuant to the APA, Foxconn Ohio would purchase the Lordstown facility for $ 230 million plus a reimbursement payment for certain operating and expansion costs incurred by us during from September 1, 2021 through the closing. We would continue to own our hub motor assembly line, battery module and packing line assets, certain intellectual property rights and other excluded assets. Foxconn Ohio paid us $100 million on November 18, 2021 and $50 million on January 28, 2022 as down payments of the purchase price. Foxconn Ohio is required to make an additional down payment of $50 million no later than April 15, 2022, subject to certain conditions. The balance of the purchase price, along with reimbursement of certain operating and expansion costs would be paid at closing. 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w:t>
      </w:r>
    </w:p>
    <w:p>
      <w:pPr>
        <w:spacing w:after="0" w:line="19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The closing of the transactions contemplated by the Asset Purchase Agreement are subject to certain conditions, including, but not limited to: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and (b) receipt of a communication that the CFIUS has concluded that the transaction is not a “covered transaction” or that CFIUS has completed its review of the transaction and determined there are no national security concerns with the transaction. We are also required to maintain minimum cash balances of $50 million through March 1, 2022 and $30 million thereafter.</w:t>
      </w:r>
    </w:p>
    <w:p>
      <w:pPr>
        <w:spacing w:after="0" w:line="19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and Foxconn have made significant progress negotiating the Contract Manufacturing Agreement and Lordstown Facility Lease, as well as supporting the review of the Foxconn Transactions by CFIUS. The parties have mutually agreed they no longer believe an operating agreement pursuant to which Lordstown would provide support to Foxconn, between signing and closing of the APA, for non-Endurance-specific investments was necessary.</w:t>
      </w:r>
    </w:p>
    <w:p>
      <w:pPr>
        <w:spacing w:after="0" w:line="189"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The APA includes a commitment by Foxconn and the Company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The APA also includes a commitment by Foxconn and the Company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In the place of a joint venture and licensing agreement, the parties agreed to explore a joint product development agreement. We are actively discussing the establishment of such an agreement with Foxconn, under which we would seek to use the MIH platform to develop a portfolio of electric vehicles targeting our commercial fleet customers, built at the Lordstown, Ohio plant and to license to Foxconn certain of our intellectual property. If an agreement is reached,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18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No assurance can be made that the transactions contemplated by the Asset Purchase Agreement, including the Contract Manufacturing Agreement and the Lordstown Facility Lease, or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 See Part I - Item 1. Business —Foxconn Transactions and Part I - Item 1A. Risk Factors for further discussion of the risks associated with the Foxconn Transactions and other related agreements being contemplated, including a joint product development agreement, and our need to raise additional capital.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and Competition</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Electric vehicle industry growth has accelerated in the past several years. According to EV Volumes.com, global sales of electric vehicles within the light vehicle segment grew 108% in 2021 and reached 6.75 million units, comprising 8.3% of all light vehicles sold annually. We believe this growth will continue into the future as increased offerings, technological developments, reduced costs, and additional charging infrastructure are expected to drive broader adoption. We expect countries around the world to become increasingly focused on meeting climate goals, in part, by reducing the environmental effects of internal combustion engine vehicles. This may include offering financial incentives to promote the use of electric vehicles and commitments from major automotive manufacturers to electrification as part of their long-term plans.</w:t>
      </w:r>
    </w:p>
    <w:p>
      <w:pPr>
        <w:spacing w:after="0" w:line="19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Electric vehicle industry growth has accelerated in the past several years. According to EV Volumes.com, global sales of electric vehicles within the light vehicle segment grew 108% in 2021 and reached 6.75 million units, comprising 8.3% of all light vehicles sold annually. We believe this growth will continue into the future as increased offerings, technological developments, reduced costs, and additional charging infrastructure are expected to drive broader adoption. We expect countries around the world to become increasingly focused on meeting climate goals, in part, by reducing the environmental effects of internal combustion engine vehicles. This may include offering financial incentives to promote the use of electric vehicles and commitments from major automotive manufacturers to electrification as part of their long-term plans.</w:t>
      </w:r>
    </w:p>
    <w:p>
      <w:pPr>
        <w:spacing w:after="0" w:line="19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primary target market is the commercial fleet segment, which is defined as commercial and governmental organizations with three or more vehicles. This market is represented by companies such as logistics companies, construction, building trade and other service providers, utilities, airlines and airport operators, telecommunication companies and insurance companies, as well as small- to mid-sized companies with fewer than 10 vehicles in their fleets. Commercial fleets purchase vehicles either directly from OEMs or indirectly through fleet management companies, dealers or other intermediaries. Government entities at the federal, state and local level represent a significant share of the fleet market that we believe will participate in the transition to electric vehicles and represent potential customers.</w:t>
      </w:r>
    </w:p>
    <w:p>
      <w:pPr>
        <w:spacing w:after="0" w:line="19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commercial fleet market is a large potential market with strong demand for vehicles. We believe that there is significant opportunity to gain a share of this market by offering electric vehicles. We anticipate substantial commercial demand for electric trucks will be driven by the potential for lower total cost of ownership in comparison to traditional gasoline and diesel internal combustion engine vehicles. We also believe that a meaningful portion of industry demand will come from large well-capitalized fleet operators with commitments to reduce their carbon footprint. The specific use cases for electric trucks by fleet operators which, often involve multiple shorter trips, can alleviate the range anxiety that has been a limiting factor 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electric vehicle adoption to date. By effectively marketing to commercial fleet operators, we believe we have the potential to secure significant and recurring purchases for our electric vehicles.</w:t>
      </w:r>
    </w:p>
    <w:p>
      <w:pPr>
        <w:spacing w:after="0" w:line="183"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Although competition within the broader electric vehicle and pickup market is intense, we believe that our focus on fleet customers will differentiate our vehicle offerings. While established OEMs and new entrants to the industry have announced plans to develop electric pickup trucks, we believe the total industry volume will remain well below expected demand during the foreseeable future. Furthermore, with relatively low production volume of EV pickup trucks anticipated to be sold during the next several years, we believe the fleet market will represent the smallest share of sales as the larger OEMs seek to sell to a segment of the EV pickup truck market that is conducive to higher price points. We are focusing on the specific needs of commercial fleets with the development and production of the Endurance and future vehicles. In addition, we believe a relationship with Foxconn and achieving a joint product development agreement for future vehicles off the MIH platform would provide the opportunity to accelerate the pace and reduce the cost of new vehicle development. We estimate approximately 500,000 pickup trucks are sold annually to fleet segments in the U.S. and Canada. EV pickup trucks can serve the needs of most of these fleet segments and are believed to generate significant savings in operating costs. In addition, EV pickup trucks are expected to help fleets reduce total cost of ownership, increase employee satisfaction, and achieve environmental sustainability goals. See Part I - Item 1A. Risk Factors for further discussion of the risks associated with the Foxconn Transactions and other related agreements being contemplated, including a joint product development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Endurance</w:t>
      </w:r>
    </w:p>
    <w:p>
      <w:pPr>
        <w:spacing w:after="0" w:line="220" w:lineRule="exact"/>
        <w:rPr>
          <w:sz w:val="20"/>
          <w:szCs w:val="20"/>
          <w:color w:val="auto"/>
        </w:rPr>
      </w:pPr>
    </w:p>
    <w:p>
      <w:pPr>
        <w:ind w:left="60" w:right="139"/>
        <w:spacing w:after="0" w:line="234" w:lineRule="auto"/>
        <w:rPr>
          <w:sz w:val="20"/>
          <w:szCs w:val="20"/>
          <w:color w:val="auto"/>
        </w:rPr>
      </w:pPr>
      <w:r>
        <w:rPr>
          <w:rFonts w:ascii="Arial" w:cs="Arial" w:eastAsia="Arial" w:hAnsi="Arial"/>
          <w:sz w:val="18"/>
          <w:szCs w:val="18"/>
          <w:color w:val="auto"/>
        </w:rPr>
        <w:t>Our flagship vehicle is the Endurance. The design of the Endurance body will follow the same design principles that have made pickup trucks ideal for the fleet market, while its chassis will be designed for safety, capability, efficiency and flexibility. The Endurance’s bed box is designed to be fully compatible with existing third-party parts, upfitting options and accessories. Our use of in-wheel hub motors together with the Endurance’s proprietary software, is expected to lead to better traction, maneuverability and handling, making it an ideal vehicle for fleet operators. With this design, we believe that the Endurance will have among the fewest moving parts of any highway- capable production vehicle ever produced and will have a total cost of ownership that is lower than comparable pickup trucks that are currently commercially available.</w:t>
      </w:r>
    </w:p>
    <w:p>
      <w:pPr>
        <w:spacing w:after="0" w:line="6" w:lineRule="exact"/>
        <w:rPr>
          <w:sz w:val="20"/>
          <w:szCs w:val="20"/>
          <w:color w:val="auto"/>
        </w:rPr>
      </w:pPr>
    </w:p>
    <w:p>
      <w:pPr>
        <w:ind w:left="60" w:right="79"/>
        <w:spacing w:after="0" w:line="226" w:lineRule="auto"/>
        <w:rPr>
          <w:sz w:val="20"/>
          <w:szCs w:val="20"/>
          <w:color w:val="auto"/>
        </w:rPr>
      </w:pPr>
      <w:r>
        <w:rPr>
          <w:rFonts w:ascii="Arial" w:cs="Arial" w:eastAsia="Arial" w:hAnsi="Arial"/>
          <w:sz w:val="18"/>
          <w:szCs w:val="18"/>
          <w:color w:val="auto"/>
        </w:rPr>
        <w:t>Based on our current estimated specifications, we expect the Endurance will achieve a 0-60 miles per hour acceleration time of 5.5 seconds, a towing capacity of 8,000 pounds, a payload capacity of 1,200 pounds, a curb weight of 6,300 pounds, a total gross vehicle weight of 7,300 pounds, produce 550 horsepower and 4,800 pound feet of torque at the wheels. Based upon ongoing vehicle testing and engineering, management estimates the Endurance will deliver a targeted range of 200 miles per charge and fuel economy of 65 mile per gallon equivalent (“MPGe”), approximately 300% better than competing internal combustion engine pickups that average approximately 15 miles per gallon</w:t>
      </w:r>
      <w:r>
        <w:rPr>
          <w:rFonts w:ascii="Arial" w:cs="Arial" w:eastAsia="Arial" w:hAnsi="Arial"/>
          <w:sz w:val="26"/>
          <w:szCs w:val="26"/>
          <w:b w:val="1"/>
          <w:bCs w:val="1"/>
          <w:color w:val="auto"/>
          <w:vertAlign w:val="superscript"/>
        </w:rPr>
        <w:t>1</w:t>
      </w:r>
      <w:r>
        <w:rPr>
          <w:rFonts w:ascii="Arial" w:cs="Arial" w:eastAsia="Arial" w:hAnsi="Arial"/>
          <w:sz w:val="18"/>
          <w:szCs w:val="18"/>
          <w:color w:val="auto"/>
        </w:rPr>
        <w:t>. Actual vehicle performance and specifications, including range and MPGe, will vary significantly based on numerous factors, including driving conditions and final vehicle design attributes. See Part I - Item 1A. – Risk Factors for further discussion of the risks associated with the expected performance of the Endurance.</w:t>
      </w:r>
    </w:p>
    <w:p>
      <w:pPr>
        <w:spacing w:after="0" w:line="20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are in the process of establishing pricing for the Endurance upon launch, which we expect to be approximately $63,500 including our standard option package but excluding the currently available U.S. federal tax credit of $7,500 for the purchase of alternative fuel vehicles. We believe our option package consists of popular equipment sought by commercial fleet customers.</w:t>
      </w:r>
    </w:p>
    <w:p>
      <w:pPr>
        <w:spacing w:after="0" w:line="200" w:lineRule="exact"/>
        <w:rPr>
          <w:sz w:val="20"/>
          <w:szCs w:val="20"/>
          <w:color w:val="auto"/>
        </w:rPr>
      </w:pPr>
    </w:p>
    <w:p>
      <w:pPr>
        <w:spacing w:after="0" w:line="213" w:lineRule="exact"/>
        <w:rPr>
          <w:sz w:val="20"/>
          <w:szCs w:val="20"/>
          <w:color w:val="auto"/>
        </w:rPr>
      </w:pPr>
    </w:p>
    <w:p>
      <w:pPr>
        <w:ind w:left="380" w:right="239" w:hanging="6"/>
        <w:spacing w:after="0" w:line="207" w:lineRule="auto"/>
        <w:tabs>
          <w:tab w:leader="none" w:pos="470" w:val="left"/>
        </w:tabs>
        <w:numPr>
          <w:ilvl w:val="0"/>
          <w:numId w:val="7"/>
        </w:numPr>
        <w:rPr>
          <w:rFonts w:ascii="Arial" w:cs="Arial" w:eastAsia="Arial" w:hAnsi="Arial"/>
          <w:sz w:val="22"/>
          <w:szCs w:val="22"/>
          <w:b w:val="1"/>
          <w:bCs w:val="1"/>
          <w:color w:val="auto"/>
          <w:vertAlign w:val="superscript"/>
        </w:rPr>
      </w:pPr>
      <w:r>
        <w:rPr>
          <w:rFonts w:ascii="Arial" w:cs="Arial" w:eastAsia="Arial" w:hAnsi="Arial"/>
          <w:sz w:val="14"/>
          <w:szCs w:val="14"/>
          <w:color w:val="auto"/>
        </w:rPr>
        <w:t>Management estimates the Endurance will utilize 0.50 kilowatt-hour (“kWh”) per mile. This would be equivalent to approximately 65 MPGe based on the estimated energy equivalence of one gallon of gasoline at 33.7 kWh of electricity, per the U.S. Environmental Protection Agency’s (the “EPA”) MPGe methodology.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Many fleet customers consider the total cost of ownership of a vehicle to be more important than the initial purchase price of a vehicle. We believe the capabilities of electric vehicles generally, and in particular the low number of parts that will be included in the Endurance, will lead to lower maintenance costs when compared to internal combustion engine vehicles. The need for routine maintenance is significantly reduced along with the elimination of the need to service or replace parts and materials for internal combustion engines, such as spark plugs, oil, oil filters, and transmission fluid. In addition, the Endurance’s brake pads and rotors are expected to last longer than those in internal combustion engine pickup trucks due to regenerative braking from the hub motors on all four wheels, representing another maintenance cost saving. As a result, over a five-year period, we anticipate that the average total cost of ownership of the Endurance is likely to be less than the average total cost of ownership of a comparable internal combustion engine pickup truck.</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Electric In-Wheel Hub Motors</w:t>
      </w:r>
    </w:p>
    <w:p>
      <w:pPr>
        <w:spacing w:after="0" w:line="22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Endurance will have four electric in-wheel hub motors. We have entered into supply and licensing agreements with Elaphe Propulsion Technologies Ltd. (“Elaphe”) to produce the initial batch of required hub motors. However, we have developed our own manufacturing line for the in-wheel hub motors and intend to manufacture the in-wheel hub motors at the Lordstown facility in the future. We anticipate that as part of our Contract Manufacturing Agreement with Foxconn, Foxconn would operate these hub motor production assets on our behalf. We believe the hub motors will provide efficiency, reliability and design flexibility and offer several advantages over traditional internal combustion engines. For example, in-wheel hub motors place the entire propulsion system within the wheels, providing a significant amount of design flexibility for the remainder of the vehicle.</w:t>
      </w:r>
    </w:p>
    <w:p>
      <w:pPr>
        <w:spacing w:after="0" w:line="19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In-wheel hub motors contribute to the superior handling and maneuverability of the Endurance. They also eliminate the need for many parts found in both traditional and hybrid vehicles, including a drivetrain, gears, axles, differentials, universal joints, transmissions, oil, oil filters, spark plugs and engine valves, which will reduce the number of moving parts in the Endurance compared to other traditional, hybrid and electric vehicles available today and, therefore, expected maintenance costs.</w:t>
      </w:r>
    </w:p>
    <w:p>
      <w:pPr>
        <w:spacing w:after="0" w:line="189"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Each hub motor and inverter pair are controlled by a central supervisory powertrain controller (“VCU”) that will manage traction, slip and efficiency on an axial basis, which we expect to provide favorable four-wheel drive traction when compared to other pickup trucks currently available to commercial fleets. Lordstown Motors has developed its own proprietary powertrain controller software and algorithms to achieve this performance using instantaneous torque control. The use of in-wheel hub motors and the absence of a traditional internal combustion engine create a large front crush zone, enhancing the safety of the vehicle and enabling the Endurance to have a “frunk” (a small trunk located at the front of the cab).</w:t>
      </w:r>
    </w:p>
    <w:p>
      <w:pPr>
        <w:spacing w:after="0" w:line="189"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The motors will be equipped with regenerative braking that captures and stores power generated by deceleration of the vehicle. Many of the systems that will enable the use of in-wheel hub motors, such as the software that will interact and direct each of the four motors, as well as the independent front suspension, are proprietary to us.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Facilities</w:t>
      </w:r>
    </w:p>
    <w:p>
      <w:pPr>
        <w:spacing w:after="0" w:line="166" w:lineRule="exact"/>
        <w:rPr>
          <w:sz w:val="20"/>
          <w:szCs w:val="20"/>
          <w:color w:val="auto"/>
        </w:rPr>
      </w:pPr>
    </w:p>
    <w:p>
      <w:pPr>
        <w:ind w:left="60" w:right="239"/>
        <w:spacing w:after="0" w:line="252" w:lineRule="auto"/>
        <w:rPr>
          <w:sz w:val="20"/>
          <w:szCs w:val="20"/>
          <w:color w:val="auto"/>
        </w:rPr>
      </w:pPr>
      <w:r>
        <w:rPr>
          <w:rFonts w:ascii="Arial" w:cs="Arial" w:eastAsia="Arial" w:hAnsi="Arial"/>
          <w:sz w:val="18"/>
          <w:szCs w:val="18"/>
          <w:color w:val="auto"/>
        </w:rPr>
        <w:t>The Lordstown facility is a 640-acre manufacturing facility that we acquired on November 7, 2019 strategically located in Lordstown, Ohio, near I-80, the major interstate highway between Cleveland, Ohio, and Pittsburgh, Pennsylvania. Lordstown, Ohio, and the surrounding area is home to a highly trained workforce experienced with working in the Lordstown facility and manufacturing vehicles as well as an extensive automotive supply base. See “— Key Agreements, Other Alliances and Technology” and “— Environmental Regulations” for additional information about the acquisition and related agreements.</w:t>
      </w:r>
    </w:p>
    <w:p>
      <w:pPr>
        <w:spacing w:after="0" w:line="140"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The Lordstown facility consists of four main facilities in one location, in addition to multiple support buildings: (1) General Assembly, (2) a Body Shop, (3) Stamping and (4) a Paint Shop. The Lordstown facility has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approximately 6.2 million square feet of manufacturing space and significant production capacity that we believe will be more than sufficient to support our targeted ramp up of production of the Endurance over the next several years. We also have solar-panels on-site, which generate approximately 2.2 megawatts of energy. The Lordstown facility is in near-production-ready condition with modern robotics, painting, assembly and stamping equipment and we continue to make tooling investments in order to commence full production of the Endurance.</w:t>
      </w:r>
    </w:p>
    <w:p>
      <w:pPr>
        <w:spacing w:after="0" w:line="141"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color w:val="auto"/>
        </w:rPr>
        <w:t>We are working towards completing construction on our production lines for in-wheel motors and initial lithium-ion battery packs. As part of our retooling efforts, we purchased and installed new machines, tooling, fixtures and quality and testing equipment, made additional investments in software, controls and other information technology systems, modified conveyor and robotics systems, converted the existing paint line process and installed new hub motor and battery packing assembly lines. After the Foxconn Transactions, we would continue to own certain assets in the facility, principally the hub motor and battery pack lines and tooling specific for the Endurance. However, we anticipate Foxconn would operate the equipment under the Contract Manufacturing Agreement.</w:t>
      </w:r>
    </w:p>
    <w:p>
      <w:pPr>
        <w:spacing w:after="0" w:line="138"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auto"/>
        </w:rPr>
        <w:t>We expect to complete the retooling that is necessary to enable limited production of the Endurance to commence as planned in the third quarter of 2022, subject to raising sufficient capital to launch the program, satisfactory completion of the Foxconn Transactions, vehicle testing and validation, and receipt of both the required regulatory approvals to sell the Endurance. Following the completion of the Foxconn Transactions, we would continue to be responsible for capital investments for certain tooling and other equipment specifically related to production of the Endurance. Foxconn would own and be responsible for maintaining and investing in general manufacturing and assembly assets, excluding the battery and hub motor lines that would be operated by Foxconn, but owned and maintained by us.</w:t>
      </w:r>
    </w:p>
    <w:p>
      <w:pPr>
        <w:spacing w:after="0" w:line="138"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This facility includes space for engineering, product development, vehicle inspection and benchmarking, as well as labs for testing, validation and prototyping. This facility also houses our purchasing group as well as certain other corporate functions and will remain with the Company following the completion of the Foxconn Transactions.</w:t>
      </w:r>
    </w:p>
    <w:p>
      <w:pPr>
        <w:spacing w:after="0" w:line="124"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r>
        <w:rPr>
          <w:rFonts w:ascii="Arial" w:cs="Arial" w:eastAsia="Arial" w:hAnsi="Arial"/>
          <w:sz w:val="18"/>
          <w:szCs w:val="18"/>
          <w:color w:val="231F20"/>
        </w:rPr>
        <w: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Agreements, Other Alliances and Technology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GM</w:t>
      </w:r>
    </w:p>
    <w:p>
      <w:pPr>
        <w:spacing w:after="0" w:line="22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have entered into several agreements with GM and its affiliates related to the acquisition and operation of the Lordstown facility and to provide financing arrangements. On November 7, 2019, we entered into an Asset Transfer Agreement, Operating Agreement and Mortgage Agreement (collectively, the “GM Property Agreements”) with GM providing for our acquisition and the continued operation of the Lordstown facility. See “-Environmental Regulations” for additional information.</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April 3, 2020, we entered into an agreement under which GM provides us with access to certain non-brand defining GM parts, including airbags, steering columns and steering wheels. This agreement was renewed for a term commencing on January 1, 2021 and ending December 31, 2023. On December 21, 2021, we entered into a further five year-term supply agreement which required a pre-payment of $17.8 million.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Elaphe Propulsion Technologies Ltd.</w:t>
      </w:r>
    </w:p>
    <w:p>
      <w:pPr>
        <w:spacing w:after="0" w:line="22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We have partnered with Elaphe to produce in-wheel hub motors. We entered into a license agreement with Elaphe, pursuant to which Elaphe granted us a perpetual license to manufacture, or have manufactured, the Elaphe Model L-1500 Endurance Motor, including enhanced or replacement versions of this motor, for use in the United States, Canada and Mexico in exchange for a license fee calculated on a per motor basis. We have substantially enhanced Elaphe’s Model L-1500 Endurance Motor and currently are using these enhanced motors in our vehicles. Elaphe is required to obtain our consent before it is permitted, within the United States, Canada or Mexico, to market, sell or otherwise distribute the Elaphe Model L-1500 Endurance Motor, or any replacement or substitute for it, including our enhanced version of the motor, or any hub motor, or replacement or substitute for it, for a substitute model pickup truck replacing the Endurance (the “Licensed Products”). In addition, Elaphe must immediately notify us if it sells, licenses or distributes the Licensed Products through a third party within the United States, Canada or Mexico and must offer to sell or license to us on the same terms available to such third party.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22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On July 23, 2021, we entered into an equity purchase agreement (the “Equity Purchase Agreement”) with YA II PN, LTD. (“YA”), pursuant to which YA has committed to purchase up to $400 million in shares of our Class A common stock, subject to certain limitations and conditions set forth in the Equity Purchase Agreement. The actual amount that we can raise under this facility will depend on market conditions as well as limitations in the agreement. In particular, at current market prices of our shares of Class A common stock, without stockholder approval, we cannot issue or sell to YA shares of our Class A common stock in excess of 35.1 million shares (the “Exchange Cap”), which would limit the amount of funds we are able to raise to significantly less than the $400 million commitment under the Equity Purchase Agreement. During the year ended December 31, 2021, we issued 9.6 million shares to YA for $49.4 million, net of equity issuance costs.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Partners</w:t>
      </w:r>
    </w:p>
    <w:p>
      <w:pPr>
        <w:spacing w:after="0" w:line="22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production of the Endurance ramps up, we may partner with key service providers to enable us to serve fleet operators and other customers efficiently and effectively for aftermarket parts and service and charging infrastructure.</w:t>
      </w:r>
    </w:p>
    <w:p>
      <w:pPr>
        <w:spacing w:after="0" w:line="20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believe that most fleet operators use service agreements with third-party service providers to maintain and repair their fleets and to provide aftermarket parts, and that an arrangement with a national service provider might be attractive to fleet customers considering purchasing the Endurance.</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To support our fleet customers, we have signed a Memorandum of Understanding with Cox Automotive to provide service and support to all Lordstown Motors EV fleet customers. Cox Automotive has a network of more than 6,000 service centers, 3,000 partner locations and 800 mobile technicians nationwide. Subject to negotiation and execution of a definitive agreement, the Cox team would deliver a full suite of service solutions including preventative scheduled maintenance, vehicle pickup and delivery, battery servicing, vehicle and collision repairs and roadside assistance. Coupled with our advanced connected vehicle technology and over-the-air update capabilities, this relationship is expected to position us to meet our customer needs after they take delivery of our vehicles.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We have made and, subject to raising sufficient capital, expect to continue to make significant investments in research and development in order to complete the design, engineering, testing and certification of the Endurance to commence commercial production and sales. These costs will primarily relate to testing, validation, design modifications, integration of third-party components, designs for tooling, development of our own components, proprietary software and systems. Our research and development also includes efforts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seek to leverage our technologies to develop additional all-electric vehicles targeted for the commercial EV market. We expect that these activities will be completed by our employees and intend to hire additional research and development personnel. However, we have utilized third party design and engineering firms for certain development activities to date and will continue to do so as we continue to ramp up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Sourcing</w:t>
      </w:r>
    </w:p>
    <w:p>
      <w:pPr>
        <w:spacing w:after="0" w:line="22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Endurance’s bill of materials is expected to consist of approximately 2,300 components with its 10 most expensive systems representing almost 75% of the anticipated cost of the Endurance. As discussed above, we have an agreement with Elaphe to license in-wheel hub motors, and we have entered into agreements with a battery manufacturer to purchase lithium-ion cylindrical battery cells. Motors and battery cells represent two of the Endurance’s most critical components. We also expect that the flexible and compatible design of the Endurance and our agreements with GM that provide access to certain non-brand defining GM parts will offer certain transitional benefits as we build out and finalize our supply chain. Other key raw materials that will be included in the Endurance and its components are steel, aluminum, copper, neodymium, nickel and cobalt.</w:t>
      </w:r>
    </w:p>
    <w:p>
      <w:pPr>
        <w:spacing w:after="0" w:line="20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Subject to receiving sufficient funding, we believe we will be able to obtain adequate sources of supply for the equipment, components and raw materials necessary to manufacture and sell the Endurance in accordance with our plans. Disruptions to the supply chain, including those due to the COVID-19 pandemic, have resulted in challenges obtaining certain components and raw materials in a timely manner and/or at favorable pricing. As a result, we have adjusted and may continue to adjust our design, materials, components, production processes and production timeline to adapt to these limitations. Further changes in our timeline, capital resources, business conditions, the impact of COVID-19 or other pandemics, governmental changes and other factors beyond our control or that we do not presently anticipate, could affect our ability to receive the material we need for production. As we and the broader electric vehicle industry grow in the future, there is no guarantee that battery cell manufacturers will be able and willing to continue to increase their capacity to meet demand. In addition, the automotive and other industries are currently experiencing a global supply shortage of semiconductors, which could impact our testing and production costs, and volume and timeline of production. Prices and supply of key raw materials have risen, in many cases significantly, and there continue to be supply shortages of certain materials and components. As a result of the foregoing and limited initial production volume, our current cost of our bill of materials is substantially higher than the anticipated selling price of the Endurance at launch. There can be no assurance that we will be able to reduce the cost of our bill of materials below our anticipated selling price for the Endurance. Increased demand for certain materials, whether due to electric vehicle growth or other factors, or reduced supply for certain materials, whether due to trade restrictions or other factors, may further increase our costs or delay the timing to obtain the materials or components and impact our production timeline, profitability and cash flows. See Part I – Item 1A. Risk Factors for additional information regarding sourcing.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Intellectual property is important to our business. We intend to establish and protect the intellectual property and proprietary technology that we develop through a combination of trademarks, patents, trade secrets and know-how. We have filed numerous trademark and patent applications with the United States Patent and Trademark Office, but as of this date no trademarks or patents have been issued.</w:t>
      </w:r>
    </w:p>
    <w:p>
      <w:pPr>
        <w:spacing w:after="0" w:line="191"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expect to develop additional intellectual property and proprietary technology as the Endurance’s engineering and validation activities proceed and we expand into developing other vehicles.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 In addition to the intellectual property that we own, we license and utilize key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technologies under our agreements with Elaphe. See Part I – Item 1. Business — Key Agreements, Other Alliances and Technology for more information.</w:t>
      </w:r>
    </w:p>
    <w:p>
      <w:pPr>
        <w:spacing w:after="0" w:line="19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cannot be certain that we will be able to adequately develop and protect our intellectual property rights, or that other companies will not claim that we are infringing upon their intellectual property rights. We may also use open-source code and other non-proprietary technology that would not be protected from use by our competitors. See Part I – Item 1A. Risk Factors for additional information regarding intellectual property.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w:t>
      </w:r>
    </w:p>
    <w:p>
      <w:pPr>
        <w:spacing w:after="0" w:line="1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an increase in fixed costs.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During 2021, we announced a series of agreements with an affiliate of Holman Enterprises, including a co-marketing agreement that establishes a framework for us and ARI, Holman’s fleet management services organization, to co-market and co-develop business opportunities with our respective customers and an agreement that establishes a framework pursuant to which ARI would use reasonable efforts to facilitate orders from its leasing clients for the Endurance over a three-year time period on the terms set forth in the agreement.</w:t>
      </w:r>
    </w:p>
    <w:p>
      <w:pPr>
        <w:spacing w:after="0" w:line="191" w:lineRule="exact"/>
        <w:rPr>
          <w:sz w:val="20"/>
          <w:szCs w:val="20"/>
          <w:color w:val="auto"/>
        </w:rPr>
      </w:pPr>
    </w:p>
    <w:p>
      <w:pPr>
        <w:ind w:left="60" w:right="119"/>
        <w:spacing w:after="0" w:line="234" w:lineRule="auto"/>
        <w:rPr>
          <w:sz w:val="20"/>
          <w:szCs w:val="20"/>
          <w:color w:val="auto"/>
        </w:rPr>
      </w:pPr>
      <w:r>
        <w:rPr>
          <w:rFonts w:ascii="Arial" w:cs="Arial" w:eastAsia="Arial" w:hAnsi="Arial"/>
          <w:sz w:val="18"/>
          <w:szCs w:val="18"/>
          <w:color w:val="auto"/>
        </w:rPr>
        <w:t>We have continued to pursue our strategy of pursuing relationships with specialty upfitting and fleet management companies to incorporate the Endurance into their fleet management programs. We have entered into vehicle purchase agreements with additional fleet management companies as a component of that strategy. These vehicle purchase agreements establish the terms and conditions of potential future vehicle purchases and other cooperation and generally have the following terms:</w:t>
      </w:r>
    </w:p>
    <w:p>
      <w:pPr>
        <w:spacing w:after="0" w:line="3"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 of three to five years;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Reference to the Company as a preferred supplier;</w:t>
      </w:r>
    </w:p>
    <w:p>
      <w:pPr>
        <w:spacing w:after="0" w:line="9" w:lineRule="exact"/>
        <w:rPr>
          <w:rFonts w:ascii="Arial" w:cs="Arial" w:eastAsia="Arial" w:hAnsi="Arial"/>
          <w:sz w:val="18"/>
          <w:szCs w:val="18"/>
          <w:color w:val="auto"/>
        </w:rPr>
      </w:pPr>
    </w:p>
    <w:p>
      <w:pPr>
        <w:ind w:left="720" w:right="679" w:hanging="319"/>
        <w:spacing w:after="0" w:line="23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 procedures, including certain forecasting, confirming, status, changing and cancelling procedures;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Down payment terms, which are generally 5% down 90 days prior to the requested delivery date;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Invoicing, delivery and payment terms; and</w:t>
      </w:r>
    </w:p>
    <w:p>
      <w:pPr>
        <w:spacing w:after="0" w:line="9" w:lineRule="exact"/>
        <w:rPr>
          <w:rFonts w:ascii="Arial" w:cs="Arial" w:eastAsia="Arial" w:hAnsi="Arial"/>
          <w:sz w:val="18"/>
          <w:szCs w:val="18"/>
          <w:color w:val="auto"/>
        </w:rPr>
      </w:pPr>
    </w:p>
    <w:p>
      <w:pPr>
        <w:ind w:left="720" w:right="799" w:hanging="319"/>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customary terms, including warranties, indemnification, intellectual property use and confidentiality terms.</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These vehicle purchase agreements may be terminated by either party at will on 30 days’ notice. They do not commit the counterparties to purchase vehicles, but we believe that they provide us with a significant indicator of demand for the Endurance. Additional agreements signed are with Pride Equipment (Pride EV), Mike Alpert Fleet Solutions, Sherpa Commercial Vehicles, and a small number of purchase agreements from municipalities, demonstrating their interest in procuring the Endurance for their fleets.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As of December 31, 2021, we employed approximately, 632 full-time personnel in the Lordstown, Ohio, facility, our research, development and engineering center in Farmington Hills, Michigan and our engineering, vehicle development and service center in Irvine, California. These employees’ skills are in the areas of manufacturing, engineering, marketing, sales, purchasing, facilities, human resources, IT, supply chain, quality, program management, software design, strategy, accounting and finance. These employees are designing and engineering the Endurance and preparing the plant for commercial production. However, if we complete the Foxconn Transactions, we anticipate substantially all of our manufacturing employees, along with certain other employees, transferring to, and becoming employees of Foxconn.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Support and Regulation</w:t>
      </w:r>
    </w:p>
    <w:p>
      <w:pPr>
        <w:spacing w:after="0" w:line="198"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 addition to the discussion in this section, also see Part I – Item 1A. Risk Factors – “Risks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and Claims.”</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management expects to continue to engage in discussions with local, state and federal officials to explore the availability of appropriate grant, loan and tax incentives. There are numerous enacted federal programs that we believe will directly or indirectly support the growth of electric vehicles, including among commercial fleet customers. These include the Infrastructure Investment and Jobs Act of 2021 that provided $7.5 billion for a national EV charging network through grants to state and local governments, transit authorities and tribes. The bill also included measures to promote greater electrification of the transportation sector, funding to expand battery processing and manufacturing and a surface transportation block grant program.</w:t>
      </w:r>
    </w:p>
    <w:p>
      <w:pPr>
        <w:spacing w:after="0" w:line="189"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We have been awarded a grant of up to $2.1 million from the Michigan Economic Development Corporation. The funding is anticipated to be received in multiple installments. We are finalizing the documentation and therefore no assurances can be made as to the timing, terms and conditions or ultimate amount of the funding.</w:t>
      </w:r>
    </w:p>
    <w:p>
      <w:pPr>
        <w:spacing w:after="0" w:line="17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accepted an invitation from the U.S. Department of Energy and have started the due diligence process toward securing an Advanced Technology Vehicles Manufacturing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this loan will be available to us and, if made available, what the terms, collateral requirements and timing for any funding would be. We have been informed that an ATVM loan would likely be secured by a first priority lien on our assets. In the near term, we do not believe that we would be able to satisfy the conditions to obtain an ATVM loan, including the requirement to demonstrate our viability as a company.</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our electric vehicles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 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Vehicle Safety and Testing Regulation</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vehicles will be subject to, and must comply with, many regulations established by the National Highway Traffic Safety Administration (“NHTSA”), including applicable U.S. federal motor vehicle safety standards (“FMVSS”). As an OEM, we must self-certify that our vehicles meet all applicable FMVSS and, when applicable, the NHTSA bumper standards before a vehicle can be manufactured for sale, offered for sale, introduced into interstate commerce, imported into or sold in the United States. There are many FMVSS that will apply to our vehicles, including crashworthiness and crash avoidance requirements and electric vehicle requirements (e.g., those relating to limitations on electrolyte spillage, battery retention and the avoidance of electric shock after a crash). We expect that our vehicles will meet all applicable FMVSS. Additionally, there are regulatory changes being considered for several FMVSS, and though we expect to comply with such changes, there is no assurance of compliance until the final regulatory changes have been enacted and we are able to evaluate the vehicles’ compliance with those new FMVSS requirements.</w:t>
      </w:r>
    </w:p>
    <w:p>
      <w:pPr>
        <w:spacing w:after="0" w:line="20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addition to FMVSS, we must comply with other NHTSA requirements and other federal laws and regulations administered by NHTSA, including, for example, early warning reporting requirements, Corporate Average Fuel Economy (“CAFE”) reporting, an obligation to conduct recalls of vehicles in the field upon a determination of a safety defect or noncompliance and owner’s manual requirements. We also must comply with the Automobile Information and Disclosure Act, which requires OEMs to disclose certain information regarding the manufacturer’s suggested retail price, optional equipment and other pricing. Further, this law allows inclusion of fuel economy metrics (e.g. range and cost savings), as determined by the U.S. EPA, and crash test ratings, as determined by NHTSA.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Battery Safety and Testing Regulations</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battery packs must conform to mandatory regulations governing the transport of “dangerous goods” that may present a risk in transportation, which items include lithium-ion batteries and are subject to regulations issued by the Pipeline and Hazardous Materials Safety Administration (“PHMSA”). These regulations are based on the UN Recommendations on the Safe Transport of Dangerous Goods - Model Regulations and related UN Manual Tests and Criteria. The regulations vary by the mode of transportation by which these items are shipped (e.g., by ocean vessel, rail, truck or air). There are additional industry standards related to the development and testing of EV batteries, including for example, standards published by the Society of Automotive Engineers (“SAE”), International Organization for Standards (“ISO”) and Underwriters Laboratories (“UL”). The use, handling, storage, disposal and exposure of our battery packs are also subject to many different regulations at the federal, state and local levels.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Credits</w:t>
      </w:r>
    </w:p>
    <w:p>
      <w:pPr>
        <w:spacing w:after="0" w:line="22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connection with the delivery and placement into service of our zero-emission vehicles (“ZEV”), under the U.S. EPA’s and California’s Greenhouse Gas (“GHG”) rules and standards and the U.S. DOT’s Corporate Average Fuel Economy (“CAFÉ”) standards for mobile sources, and under California’s ZEV standard, we will earn tradable credits that can be sold to other OEMs. Like the United States, California also has its own GHG emissions standard that seeks to reduce GHGs over time. Other U.S. states, including Colorado, Connecticut, Maine, Maryland, Massachusetts, New Jersey, New York, Oregon, Rhode Island and Vermont, have adopted some or all of California’s standards. We intend to take advantage of these regulatory frameworks by registering and selling GHG, CAFÉ and ZEV credits. In addition, we have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and not otherwise required by us to comply with emissions laws and regulations at a purchase price equal to 75% of the fair market value of such credits. While our plan is for the first three annual production/model years for the purpose of this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74" w:lineRule="auto"/>
        <w:rPr>
          <w:sz w:val="20"/>
          <w:szCs w:val="20"/>
          <w:color w:val="auto"/>
        </w:rPr>
      </w:pPr>
      <w:r>
        <w:rPr>
          <w:rFonts w:ascii="Arial" w:cs="Arial" w:eastAsia="Arial" w:hAnsi="Arial"/>
          <w:sz w:val="17"/>
          <w:szCs w:val="17"/>
          <w:color w:val="auto"/>
        </w:rPr>
        <w:t>agreement to be 2023, 2024 and 2025, it is possible that this agreement could extend beyond these model years if we do not achieve ten or more months of production during those annual production/model years.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0"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 laws, regulations or permits could result in substantial civil and criminal fines and penalties and the suspension or loss of such permits, and possibly orders to cease the non-compliant operations.</w:t>
      </w:r>
    </w:p>
    <w:p>
      <w:pPr>
        <w:spacing w:after="0" w:line="6"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The U.S. Clean Air Act requires that we obtain a Certificate of Conformity from the U.S. EPA for our vehicles prior to their entry into commerce in all 50 states. In addition, we must obtain an Executive Order from the California Air Resources Board (“CARB”) in order to sell vehicles in California and those states that have adopted its standards. The Certificate of Conformity and Executive Order are required for each model year. A failure to apply for and obtain a Certificate of Conformity or Executive Order will result in delays in the sale of the Endurance and adversely affect our business.</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As part of our acquisition of the Lordstown facility from GM, we were required to accept the plant and all property in “as is — where is” condition, including environmental responsibilities. Prior to entering into the Asset Transfer Agreement with GM (the “Asset Transfer Agreement”), GM completed an investigation and remediation program pursuant to an Administrative Order on Consent (“AOC”) under the U.S. EPA’s Resource Conservation and Recovery Act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facility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obtained an environmental liability policy providing certain coverages up to the amount of $25.0 million as required under the Asset Transfer Agreement. In addition, to mitigate the risk associated with the Ohio EPA’s authority to require future remediation activities at the Lordstown facility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 </w:t>
      </w:r>
      <w:r>
        <w:rPr>
          <w:rFonts w:ascii="Arial" w:cs="Arial" w:eastAsia="Arial" w:hAnsi="Arial"/>
          <w:sz w:val="18"/>
          <w:szCs w:val="18"/>
          <w:color w:val="231F20"/>
        </w:rPr>
        <w:t>Upon closing</w:t>
      </w:r>
      <w:r>
        <w:rPr>
          <w:rFonts w:ascii="Arial" w:cs="Arial" w:eastAsia="Arial" w:hAnsi="Arial"/>
          <w:sz w:val="18"/>
          <w:szCs w:val="18"/>
          <w:color w:val="auto"/>
        </w:rPr>
        <w:t xml:space="preserve"> </w:t>
      </w:r>
      <w:r>
        <w:rPr>
          <w:rFonts w:ascii="Arial" w:cs="Arial" w:eastAsia="Arial" w:hAnsi="Arial"/>
          <w:sz w:val="18"/>
          <w:szCs w:val="18"/>
          <w:color w:val="231F20"/>
        </w:rPr>
        <w:t>of the Asset Purchase Agreement, Foxconn will generally assume environmental liabilities arising from the Lordstown facility; however, we will retain an indemnity obligation for certain undisclosed liabilities known by us or caused by us during our period of ownership.</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Information</w:t>
      </w:r>
    </w:p>
    <w:p>
      <w:pPr>
        <w:spacing w:after="0" w:line="22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Lordstown Motors Corp., originally known as DiamondPeak Holdings Corp. (“DiamondPeak”), was incorporated in Delaware on November 13, 2018 as a blank check company for the purpose of effecting a business combination and completed its initial public offering in March 2019 (the “Initial Public Offering”).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89"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w:t>
      </w:r>
    </w:p>
    <w:p>
      <w:pPr>
        <w:spacing w:after="0" w:line="198" w:lineRule="exact"/>
        <w:rPr>
          <w:sz w:val="20"/>
          <w:szCs w:val="20"/>
          <w:color w:val="auto"/>
        </w:rPr>
      </w:pPr>
    </w:p>
    <w:p>
      <w:pPr>
        <w:ind w:left="720" w:right="239" w:hanging="319"/>
        <w:spacing w:after="0" w:line="234" w:lineRule="auto"/>
        <w:tabs>
          <w:tab w:leader="none" w:pos="720" w:val="left"/>
        </w:tabs>
        <w:numPr>
          <w:ilvl w:val="0"/>
          <w:numId w:val="9"/>
        </w:numPr>
        <w:rPr>
          <w:rFonts w:ascii="Arial" w:cs="Arial" w:eastAsia="Arial" w:hAnsi="Arial"/>
          <w:sz w:val="18"/>
          <w:szCs w:val="18"/>
          <w:color w:val="auto"/>
          <w:strike w:val="1"/>
        </w:rPr>
      </w:pPr>
      <w:r>
        <w:rPr>
          <w:rFonts w:ascii="Arial" w:cs="Arial" w:eastAsia="Arial" w:hAnsi="Arial"/>
          <w:sz w:val="18"/>
          <w:szCs w:val="18"/>
          <w:color w:val="auto"/>
        </w:rPr>
        <w:t>Each share of common stock, par value $0.0001 per share, of Legacy Lordstown (“Legacy Lordstown common stock”) issued and outstanding at the Effective Time converted into 55.8817 shares of our Class A common stock (the “Exchange Ratio”).</w:t>
      </w:r>
    </w:p>
    <w:p>
      <w:pPr>
        <w:spacing w:after="0" w:line="2" w:lineRule="exact"/>
        <w:rPr>
          <w:rFonts w:ascii="Arial" w:cs="Arial" w:eastAsia="Arial" w:hAnsi="Arial"/>
          <w:sz w:val="18"/>
          <w:szCs w:val="18"/>
          <w:color w:val="auto"/>
          <w:strike w:val="1"/>
        </w:rPr>
      </w:pPr>
    </w:p>
    <w:p>
      <w:pPr>
        <w:ind w:left="720" w:right="179" w:hanging="319"/>
        <w:spacing w:after="0" w:line="234"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Each outstanding share of Class B common stock, $0.0001 par value, of DiamondPeak converted into one share of Class A common stock, resulting in an issuance of 7 million shares of Class A common stock in the aggregate.</w:t>
      </w:r>
    </w:p>
    <w:p>
      <w:pPr>
        <w:spacing w:after="0" w:line="2" w:lineRule="exact"/>
        <w:rPr>
          <w:rFonts w:ascii="Arial" w:cs="Arial" w:eastAsia="Arial" w:hAnsi="Arial"/>
          <w:sz w:val="18"/>
          <w:szCs w:val="18"/>
          <w:color w:val="231F20"/>
        </w:rPr>
      </w:pPr>
    </w:p>
    <w:p>
      <w:pPr>
        <w:ind w:left="720" w:right="99" w:hanging="319"/>
        <w:spacing w:after="0" w:line="234"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Each convertible promissory note issued by Legacy Lordstown evidencing indebtedness of an aggregate of $40.0 million plus accrued interest automatically converted, in accordance with the terms thereof, into shares of Class A common stock at a price of $10.00 per share, resulting in an issuance of approximately 4 million shares of Class A common stock in the aggregate.</w:t>
      </w:r>
    </w:p>
    <w:p>
      <w:pPr>
        <w:spacing w:after="0" w:line="2" w:lineRule="exact"/>
        <w:rPr>
          <w:rFonts w:ascii="Arial" w:cs="Arial" w:eastAsia="Arial" w:hAnsi="Arial"/>
          <w:sz w:val="18"/>
          <w:szCs w:val="18"/>
          <w:color w:val="231F20"/>
        </w:rPr>
      </w:pPr>
    </w:p>
    <w:p>
      <w:pPr>
        <w:ind w:left="720" w:right="139" w:hanging="319"/>
        <w:spacing w:after="0" w:line="238"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Each stock option to purchase Legacy Lordstown common stock (each, a “Legacy Lordstown Option”) that was outstanding immediately prior to the Effective Time automatically converted into an option, which continued to be governed by the same terms and conditions (including vesting and exercisability terms) as were applicable immediately prior to the Effective Time.</w:t>
      </w:r>
    </w:p>
    <w:p>
      <w:pPr>
        <w:spacing w:after="0" w:line="191"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In connection with the entry into the Business Combination Agreement, we sold an aggregate of 50 million shares of Class A common stock to certain investors for aggregate consideration of $500 million to provide us with additional capital. Concurrently with the Closing, we also issued to Brown Gibbons Lang &amp; Company (“BGL”) redeemable warrants entitling BGL to purchase, in the aggregate, 1.6 million shares of Class A common stock (the “BGL Warrants”).</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On January 27, 2021, we redeemed all of the public warrants (the “Public Warrants”) originally issued in the Initial Public Offering that remained outstanding. The BGL Warrants and the private placement warrants issued to certain investors (the “Private Placement Warrants”) were not subject to redemption and as of December 31, 2021, 2.3 million Private Placement Warrants and 1.6 million BGL Warrants were outstanding. Prior to the redemption, the term “Warrants” collectively refers to the Public Warrants, the Private Placement Warrants and the BGL Warrants and, after the redemption, collectively refers to the Private Placement Warrants and the BGL Warrants.</w:t>
      </w:r>
    </w:p>
    <w:p>
      <w:pPr>
        <w:spacing w:after="0" w:line="189"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231F20"/>
        </w:rPr>
        <w:t xml:space="preserve">The mailing address of our principal executive office is 2300 Hallock Young Road, Lordstown, Ohio 44481. Our telephone number is (234) 285-4001. Our website address is </w:t>
      </w:r>
      <w:r>
        <w:rPr>
          <w:rFonts w:ascii="Arial" w:cs="Arial" w:eastAsia="Arial" w:hAnsi="Arial"/>
          <w:sz w:val="17"/>
          <w:szCs w:val="17"/>
          <w:color w:val="000000"/>
        </w:rPr>
        <w:t>www.lordstownmotors.com</w:t>
      </w:r>
      <w:r>
        <w:rPr>
          <w:rFonts w:ascii="Arial" w:cs="Arial" w:eastAsia="Arial" w:hAnsi="Arial"/>
          <w:sz w:val="17"/>
          <w:szCs w:val="17"/>
          <w:color w:val="231F20"/>
        </w:rPr>
        <w:t>. Our Class A common stock is listed on the NASDAQ Global Stock Market under the symbol “RIDE.” Information contained on our website or connected thereto does not constitute part of, and is not incorporated by reference into, this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34"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Below is a list of the names, ages, positions and a brief description of the business experience of each of our executive officers as of February 15, 2022.</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100" w:type="dxa"/>
            <w:vAlign w:val="bottom"/>
            <w:gridSpan w:val="2"/>
          </w:tcPr>
          <w:p>
            <w:pPr>
              <w:ind w:left="340"/>
              <w:spacing w:after="0"/>
              <w:rPr>
                <w:sz w:val="20"/>
                <w:szCs w:val="20"/>
                <w:color w:val="auto"/>
              </w:rPr>
            </w:pPr>
            <w:r>
              <w:rPr>
                <w:rFonts w:ascii="Arial" w:cs="Arial" w:eastAsia="Arial" w:hAnsi="Arial"/>
                <w:sz w:val="16"/>
                <w:szCs w:val="16"/>
                <w:color w:val="auto"/>
              </w:rPr>
              <w:t>Name</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Age</w:t>
            </w:r>
          </w:p>
        </w:tc>
        <w:tc>
          <w:tcPr>
            <w:tcW w:w="4120" w:type="dxa"/>
            <w:vAlign w:val="bottom"/>
          </w:tcPr>
          <w:p>
            <w:pPr>
              <w:ind w:left="720"/>
              <w:spacing w:after="0"/>
              <w:rPr>
                <w:sz w:val="20"/>
                <w:szCs w:val="20"/>
                <w:color w:val="auto"/>
              </w:rPr>
            </w:pPr>
            <w:r>
              <w:rPr>
                <w:rFonts w:ascii="Arial" w:cs="Arial" w:eastAsia="Arial" w:hAnsi="Arial"/>
                <w:sz w:val="16"/>
                <w:szCs w:val="16"/>
                <w:color w:val="auto"/>
              </w:rPr>
              <w:t>Position</w:t>
            </w:r>
          </w:p>
        </w:tc>
      </w:tr>
      <w:tr>
        <w:trPr>
          <w:trHeight w:val="208"/>
        </w:trPr>
        <w:tc>
          <w:tcPr>
            <w:tcW w:w="2080" w:type="dxa"/>
            <w:vAlign w:val="bottom"/>
            <w:tcBorders>
              <w:bottom w:val="single" w:sz="8" w:color="231F20"/>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4120" w:type="dxa"/>
            <w:vAlign w:val="bottom"/>
            <w:tcBorders>
              <w:bottom w:val="single" w:sz="8" w:color="231F20"/>
            </w:tcBorders>
          </w:tcPr>
          <w:p>
            <w:pPr>
              <w:spacing w:after="0"/>
              <w:rPr>
                <w:sz w:val="18"/>
                <w:szCs w:val="18"/>
                <w:color w:val="auto"/>
              </w:rPr>
            </w:pPr>
          </w:p>
        </w:tc>
      </w:tr>
      <w:tr>
        <w:trPr>
          <w:trHeight w:val="217"/>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Daniel A. Ninivaggi</w:t>
            </w:r>
          </w:p>
        </w:tc>
        <w:tc>
          <w:tcPr>
            <w:tcW w:w="7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57</w:t>
            </w:r>
          </w:p>
        </w:tc>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Chief Executive Officer</w:t>
            </w:r>
          </w:p>
        </w:tc>
      </w:tr>
      <w:tr>
        <w:trPr>
          <w:trHeight w:val="197"/>
        </w:trPr>
        <w:tc>
          <w:tcPr>
            <w:tcW w:w="2100" w:type="dxa"/>
            <w:vAlign w:val="bottom"/>
            <w:gridSpan w:val="2"/>
          </w:tcPr>
          <w:p>
            <w:pPr>
              <w:ind w:left="340"/>
              <w:spacing w:after="0"/>
              <w:rPr>
                <w:sz w:val="20"/>
                <w:szCs w:val="20"/>
                <w:color w:val="auto"/>
              </w:rPr>
            </w:pPr>
            <w:r>
              <w:rPr>
                <w:rFonts w:ascii="Arial" w:cs="Arial" w:eastAsia="Arial" w:hAnsi="Arial"/>
                <w:sz w:val="16"/>
                <w:szCs w:val="16"/>
                <w:color w:val="auto"/>
              </w:rPr>
              <w:t>Adam Kroll</w:t>
            </w: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47</w:t>
            </w:r>
          </w:p>
        </w:tc>
        <w:tc>
          <w:tcPr>
            <w:tcW w:w="4120" w:type="dxa"/>
            <w:vAlign w:val="bottom"/>
          </w:tcPr>
          <w:p>
            <w:pPr>
              <w:ind w:left="220"/>
              <w:spacing w:after="0"/>
              <w:rPr>
                <w:sz w:val="20"/>
                <w:szCs w:val="20"/>
                <w:color w:val="auto"/>
              </w:rPr>
            </w:pPr>
            <w:r>
              <w:rPr>
                <w:rFonts w:ascii="Arial" w:cs="Arial" w:eastAsia="Arial" w:hAnsi="Arial"/>
                <w:sz w:val="16"/>
                <w:szCs w:val="16"/>
                <w:color w:val="auto"/>
              </w:rPr>
              <w:t>Chief Financial Officer</w:t>
            </w:r>
          </w:p>
        </w:tc>
      </w:tr>
      <w:tr>
        <w:trPr>
          <w:trHeight w:val="73"/>
        </w:trPr>
        <w:tc>
          <w:tcPr>
            <w:tcW w:w="2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120" w:type="dxa"/>
            <w:vAlign w:val="bottom"/>
          </w:tcPr>
          <w:p>
            <w:pPr>
              <w:spacing w:after="0"/>
              <w:rPr>
                <w:sz w:val="6"/>
                <w:szCs w:val="6"/>
                <w:color w:val="auto"/>
              </w:rPr>
            </w:pPr>
          </w:p>
        </w:tc>
      </w:tr>
      <w:tr>
        <w:trPr>
          <w:trHeight w:val="197"/>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Edward T. Hightower</w:t>
            </w: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56</w:t>
            </w:r>
          </w:p>
        </w:tc>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President</w:t>
            </w:r>
          </w:p>
        </w:tc>
      </w:tr>
      <w:tr>
        <w:trPr>
          <w:trHeight w:val="73"/>
        </w:trPr>
        <w:tc>
          <w:tcPr>
            <w:tcW w:w="20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120" w:type="dxa"/>
            <w:vAlign w:val="bottom"/>
            <w:shd w:val="clear" w:color="auto" w:fill="CCEEFF"/>
          </w:tcPr>
          <w:p>
            <w:pPr>
              <w:spacing w:after="0"/>
              <w:rPr>
                <w:sz w:val="6"/>
                <w:szCs w:val="6"/>
                <w:color w:val="auto"/>
              </w:rPr>
            </w:pPr>
          </w:p>
        </w:tc>
      </w:tr>
      <w:tr>
        <w:trPr>
          <w:trHeight w:val="191"/>
        </w:trPr>
        <w:tc>
          <w:tcPr>
            <w:tcW w:w="2100" w:type="dxa"/>
            <w:vAlign w:val="bottom"/>
            <w:gridSpan w:val="2"/>
          </w:tcPr>
          <w:p>
            <w:pPr>
              <w:ind w:left="340"/>
              <w:spacing w:after="0"/>
              <w:rPr>
                <w:sz w:val="20"/>
                <w:szCs w:val="20"/>
                <w:color w:val="auto"/>
              </w:rPr>
            </w:pPr>
            <w:r>
              <w:rPr>
                <w:rFonts w:ascii="Arial" w:cs="Arial" w:eastAsia="Arial" w:hAnsi="Arial"/>
                <w:sz w:val="16"/>
                <w:szCs w:val="16"/>
                <w:color w:val="auto"/>
              </w:rPr>
              <w:t>Jane Ritson-Parsons</w:t>
            </w: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59</w:t>
            </w:r>
          </w:p>
        </w:tc>
        <w:tc>
          <w:tcPr>
            <w:tcW w:w="4120" w:type="dxa"/>
            <w:vAlign w:val="bottom"/>
          </w:tcPr>
          <w:p>
            <w:pPr>
              <w:ind w:left="220"/>
              <w:spacing w:after="0"/>
              <w:rPr>
                <w:sz w:val="20"/>
                <w:szCs w:val="20"/>
                <w:color w:val="auto"/>
              </w:rPr>
            </w:pPr>
            <w:r>
              <w:rPr>
                <w:rFonts w:ascii="Arial" w:cs="Arial" w:eastAsia="Arial" w:hAnsi="Arial"/>
                <w:sz w:val="16"/>
                <w:szCs w:val="16"/>
                <w:color w:val="auto"/>
              </w:rPr>
              <w:t>Executive Vice President — Chief Commercial</w:t>
            </w:r>
          </w:p>
        </w:tc>
      </w:tr>
      <w:tr>
        <w:trPr>
          <w:trHeight w:val="187"/>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20" w:type="dxa"/>
            <w:vAlign w:val="bottom"/>
          </w:tcPr>
          <w:p>
            <w:pPr>
              <w:ind w:left="220"/>
              <w:spacing w:after="0"/>
              <w:rPr>
                <w:sz w:val="20"/>
                <w:szCs w:val="20"/>
                <w:color w:val="auto"/>
              </w:rPr>
            </w:pPr>
            <w:r>
              <w:rPr>
                <w:rFonts w:ascii="Arial" w:cs="Arial" w:eastAsia="Arial" w:hAnsi="Arial"/>
                <w:sz w:val="16"/>
                <w:szCs w:val="16"/>
                <w:color w:val="auto"/>
              </w:rPr>
              <w:t>Officer</w:t>
            </w:r>
          </w:p>
        </w:tc>
      </w:tr>
      <w:tr>
        <w:trPr>
          <w:trHeight w:val="191"/>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Melissa A. Leonard</w:t>
            </w:r>
          </w:p>
        </w:tc>
        <w:tc>
          <w:tcPr>
            <w:tcW w:w="7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52</w:t>
            </w:r>
          </w:p>
        </w:tc>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Vice President, General Counsel &amp;</w:t>
            </w:r>
          </w:p>
        </w:tc>
      </w:tr>
      <w:tr>
        <w:trPr>
          <w:trHeight w:val="187"/>
        </w:trPr>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Secretary</w:t>
            </w:r>
          </w:p>
        </w:tc>
      </w:tr>
    </w:tbl>
    <w:p>
      <w:pPr>
        <w:spacing w:after="0" w:line="200" w:lineRule="exact"/>
        <w:rPr>
          <w:sz w:val="20"/>
          <w:szCs w:val="20"/>
          <w:color w:val="auto"/>
        </w:rPr>
      </w:pPr>
    </w:p>
    <w:p>
      <w:pPr>
        <w:spacing w:after="0" w:line="236"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b w:val="1"/>
          <w:bCs w:val="1"/>
          <w:i w:val="1"/>
          <w:iCs w:val="1"/>
          <w:color w:val="auto"/>
        </w:rPr>
        <w:t xml:space="preserve">Daniel A. Ninivaggi. </w:t>
      </w:r>
      <w:r>
        <w:rPr>
          <w:rFonts w:ascii="Arial" w:cs="Arial" w:eastAsia="Arial" w:hAnsi="Arial"/>
          <w:sz w:val="17"/>
          <w:szCs w:val="17"/>
          <w:color w:val="auto"/>
        </w:rPr>
        <w:t>Mr. Ninivaggi has served as our Chief Executive Officer and a director since August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the Company, Mr. Ninivaggi served as an independent consultant from December 2019 to August 2021. Mr. Ninivaggi served as Chief Executive Officer of Icahn Automotive Group, LLC and Managing Director of Icahn Enterprises L.P. (IEP) – Automotive Segment from March 2017 through August 2019. Prior to that, Mr. Ninivaggi served as Co-Chairman and Co-CEO of Federal-Mogul Holdings Corp., an $8 billion automotive supplier (subsequently acquired by Tenneco). Mr. Ninivaggi was President and Chief Executive Officer of IEP between 2010 and 2014. Mr. Ninivaggi has served as the Chairman of Garrett Motion Inc. since April 2021 and has served as a director of numerous other public and private companies, including Hertz Global Holdings, Inc. (from September 2014 to June 2021), Metalsa S.A. (Advisory Board), Navistar International Corporation(from August 2017 to October 2018), Icahn Enterprises G.P. Inc., CVR GP, LLC, XO Holdings, Tropicana Entertainment Inc., Motorola Mobility Holdings Inc., and CIT Group, Inc. Prior to joining IEP,</w:t>
      </w:r>
    </w:p>
    <w:p>
      <w:pPr>
        <w:spacing w:after="0" w:line="1"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Mr. Ninivaggi spent six years at Lear Corporation, holding various executive positions. Mr. Ninivaggi began his career at Skadden, Arps, Slate, Meagher &amp; Flom LLP before joining Winston &amp; Strawn LLP, where he became partner. He holds a Bachelor of Arts degree from Columbia University, an MBA from the University of Chicago Graduate School of Business, and a Juris Doctor degree (with distinction) from Stanford Law School.</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b w:val="1"/>
          <w:bCs w:val="1"/>
          <w:i w:val="1"/>
          <w:iCs w:val="1"/>
          <w:color w:val="auto"/>
        </w:rPr>
        <w:t>Edward T. Hightower</w:t>
      </w:r>
      <w:r>
        <w:rPr>
          <w:rFonts w:ascii="Arial" w:cs="Arial" w:eastAsia="Arial" w:hAnsi="Arial"/>
          <w:sz w:val="18"/>
          <w:szCs w:val="18"/>
          <w:color w:val="auto"/>
        </w:rPr>
        <w:t>. Mr. Hightower has served as our President since November 2021. Mr. Hightower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Managing director of Motoring Ventures LLC, a global investment and consulting firm for automotive and manufacturing businesses that Mr. Hightower founded,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Mr. Hightower has also served in related roles at Ford Motor Company and BMW of North America, Inc. and has more than 30 years of experience in his field. Mr. Hightower has served as a director and member of the audit committee of Tritium DCFC Limited since January 2022, and previously served as a board member of the Michigan Council — Boy Scouts of America from December 2018 to November 2021.</w:t>
      </w:r>
    </w:p>
    <w:p>
      <w:pPr>
        <w:spacing w:after="0" w:line="186"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b w:val="1"/>
          <w:bCs w:val="1"/>
          <w:i w:val="1"/>
          <w:iCs w:val="1"/>
          <w:color w:val="auto"/>
        </w:rPr>
        <w:t xml:space="preserve">Adam Kroll. </w:t>
      </w:r>
      <w:r>
        <w:rPr>
          <w:rFonts w:ascii="Arial" w:cs="Arial" w:eastAsia="Arial" w:hAnsi="Arial"/>
          <w:sz w:val="17"/>
          <w:szCs w:val="17"/>
          <w:color w:val="auto"/>
        </w:rPr>
        <w:t>Mr. Kroll has served as our Chief Financial Officer and Principal Accounting Officer since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Mr. Kroll served as the Chief Administrative Officer of Hyzon Motors Inc. from March through July</w:t>
      </w:r>
    </w:p>
    <w:p>
      <w:pPr>
        <w:ind w:left="60" w:right="199"/>
        <w:spacing w:after="0" w:line="237" w:lineRule="auto"/>
        <w:rPr>
          <w:sz w:val="20"/>
          <w:szCs w:val="20"/>
          <w:color w:val="auto"/>
        </w:rPr>
      </w:pPr>
      <w:r>
        <w:rPr>
          <w:rFonts w:ascii="Arial" w:cs="Arial" w:eastAsia="Arial" w:hAnsi="Arial"/>
          <w:sz w:val="18"/>
          <w:szCs w:val="18"/>
          <w:color w:val="auto"/>
        </w:rPr>
        <w:t>2021. From October 2020 through January 2021, Mr. Kroll was the interim Chief Financial Officer of UPG Enterprises, a family office. Prior to his tenure at UPG, Mr. Kroll spent five years at PSAV Holdings, a global event technology services provider, where he served in roles of increasing responsibility, including Treasurer, Head of Corporate Development and Senior Vice President - Finance. Prior to his time at PSAV Holdings, Mr. Kroll served as an investment banker at JP Morgan and elsewhere focusing on the automotive industry where, during his tenure, he advised companies on capital markets, loan and M&amp;A transactions.</w:t>
      </w:r>
    </w:p>
    <w:p>
      <w:pPr>
        <w:spacing w:after="0" w:line="183"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b w:val="1"/>
          <w:bCs w:val="1"/>
          <w:i w:val="1"/>
          <w:iCs w:val="1"/>
          <w:color w:val="auto"/>
        </w:rPr>
        <w:t xml:space="preserve">Jane Ritson-Parsons. </w:t>
      </w:r>
      <w:r>
        <w:rPr>
          <w:rFonts w:ascii="Arial" w:cs="Arial" w:eastAsia="Arial" w:hAnsi="Arial"/>
          <w:sz w:val="18"/>
          <w:szCs w:val="18"/>
          <w:color w:val="auto"/>
        </w:rPr>
        <w:t>Ms. Ritson- Parsons has served as our Executive Vice President, Chief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November 2021, and served as our Chief Interim Brand Officer from April 2021 to November 2021 and as our Chief Operating Officer from June 2021 to November 2021. Prior to joining the Company, Ms. Ritson-Parsons served as an independent consultant and advisor of The JRP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Company, LLC, a consulting firm founded by Ms. Ritson-Parsons that advises companies, including the Company, on brand and marketing operations. Ms. Ritson- Parsons previously served as Group Executive, Global Brand Marketing at Hasbro Inc. from 2008 to 2018. Prior to that, she served in various capacities at Hasbro Inc. from 1993 to 2008. Ms. Ritson-Parsons currently serves as a director of Flat River Group.</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Melissa A. Leonard</w:t>
      </w:r>
      <w:r>
        <w:rPr>
          <w:rFonts w:ascii="Arial" w:cs="Arial" w:eastAsia="Arial" w:hAnsi="Arial"/>
          <w:sz w:val="18"/>
          <w:szCs w:val="18"/>
          <w:color w:val="auto"/>
        </w:rPr>
        <w:t>. Ms. Leonard has served as our Executive Vice President, General Counsel and Secretary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2022. Ms. Leonard has been a corporate and transactional attorney at Baker &amp; Hostetler LLP since 1995 and has extensive legal experience with mergers and acquisitions, financings, and corporate governance matters. Ms. Leonard has served as outside counsel to the Company since 2019 and was co-leader of the Mergers and Acquisitions team for Baker &amp; Hostetler LLP during 2021. Ms. Leonard was a member of the Board of Trustees of the Museum of Contemporary Art (MOCA), Cleveland, Ohio from 2007 – 2021 and served on the Finance and Governance Committees.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you are encouraged to perform your own investigation with respect to us and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Summary Risk Factor</w:t>
      </w:r>
    </w:p>
    <w:p>
      <w:pPr>
        <w:spacing w:after="0" w:line="198"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77" w:lineRule="exact"/>
        <w:rPr>
          <w:sz w:val="20"/>
          <w:szCs w:val="20"/>
          <w:color w:val="auto"/>
        </w:rPr>
      </w:pPr>
    </w:p>
    <w:p>
      <w:pPr>
        <w:ind w:left="720" w:right="11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Foxconn Transactions, which are subject to various conditions to closing, including the entry into the Contract Manufacturing Agreement and the receipt of regulatory approvals, and our ability to enter into a joint product development agreement or similar agreement with an appropriate funding structure;</w:t>
      </w:r>
    </w:p>
    <w:p>
      <w:pPr>
        <w:spacing w:after="0" w:line="2" w:lineRule="exact"/>
        <w:rPr>
          <w:rFonts w:ascii="Arial" w:cs="Arial" w:eastAsia="Arial" w:hAnsi="Arial"/>
          <w:sz w:val="16"/>
          <w:szCs w:val="16"/>
          <w:color w:val="auto"/>
        </w:rPr>
      </w:pPr>
    </w:p>
    <w:p>
      <w:pPr>
        <w:ind w:left="720" w:right="3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well in advance of our target of third quarter 2022 for the start of commercial production and sale of the Endurance, and our ability to raise such funding on a reasonable timeline and with suitable terms;</w:t>
      </w:r>
    </w:p>
    <w:p>
      <w:pPr>
        <w:spacing w:after="0" w:line="2" w:lineRule="exact"/>
        <w:rPr>
          <w:rFonts w:ascii="Arial" w:cs="Arial" w:eastAsia="Arial" w:hAnsi="Arial"/>
          <w:sz w:val="16"/>
          <w:szCs w:val="16"/>
          <w:color w:val="auto"/>
        </w:rPr>
      </w:pPr>
    </w:p>
    <w:p>
      <w:pPr>
        <w:ind w:left="720" w:right="23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raise sufficient capital in the future in order to invest in the tooling that we expect will enable us to eventually lower the Endurance bill of materials cost, continued design enhancements of the Endurance and any future vehicles we may develop;</w:t>
      </w:r>
    </w:p>
    <w:p>
      <w:pPr>
        <w:spacing w:after="0" w:line="2" w:lineRule="exact"/>
        <w:rPr>
          <w:rFonts w:ascii="Arial" w:cs="Arial" w:eastAsia="Arial" w:hAnsi="Arial"/>
          <w:sz w:val="16"/>
          <w:szCs w:val="16"/>
          <w:color w:val="auto"/>
        </w:rPr>
      </w:pPr>
    </w:p>
    <w:p>
      <w:pPr>
        <w:ind w:left="720" w:right="49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cost and other impacts of litigation, regulatory proceedings, investigations, complaints, product liability claims and/or adverse publicity, which may have a material adverse effect, whether or not successful or valid, on our business prospects and ability to obtain financing;</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execute our business plan, including market acceptance of our planned products;</w:t>
      </w:r>
    </w:p>
    <w:p>
      <w:pPr>
        <w:ind w:left="720" w:right="11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3" w:lineRule="exact"/>
        <w:rPr>
          <w:rFonts w:ascii="Arial" w:cs="Arial" w:eastAsia="Arial" w:hAnsi="Arial"/>
          <w:sz w:val="16"/>
          <w:szCs w:val="16"/>
          <w:color w:val="auto"/>
        </w:rPr>
      </w:pPr>
    </w:p>
    <w:p>
      <w:pPr>
        <w:ind w:left="720" w:right="93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jc w:val="both"/>
        <w:ind w:left="720" w:right="339"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99" w:hanging="319"/>
        <w:spacing w:after="0" w:line="248"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199"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2" w:lineRule="exact"/>
        <w:rPr>
          <w:rFonts w:ascii="Arial" w:cs="Arial" w:eastAsia="Arial" w:hAnsi="Arial"/>
          <w:sz w:val="16"/>
          <w:szCs w:val="16"/>
          <w:color w:val="auto"/>
        </w:rPr>
      </w:pPr>
    </w:p>
    <w:p>
      <w:pPr>
        <w:ind w:left="720" w:right="299"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business, expansion plans, strategic alliances and opportunities;</w:t>
      </w:r>
    </w:p>
    <w:p>
      <w:pPr>
        <w:ind w:left="720"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right="659"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 w:lineRule="exact"/>
        <w:rPr>
          <w:rFonts w:ascii="Arial" w:cs="Arial" w:eastAsia="Arial" w:hAnsi="Arial"/>
          <w:sz w:val="16"/>
          <w:szCs w:val="16"/>
          <w:color w:val="auto"/>
        </w:rPr>
      </w:pPr>
    </w:p>
    <w:p>
      <w:pPr>
        <w:ind w:left="720" w:right="159"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cybersecurity threats and compliance with privacy and data protection laws;</w:t>
      </w:r>
    </w:p>
    <w:p>
      <w:pPr>
        <w:ind w:left="720" w:right="259" w:hanging="319"/>
        <w:spacing w:after="0" w:line="234"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Arial" w:cs="Arial" w:eastAsia="Arial" w:hAnsi="Arial"/>
          <w:sz w:val="16"/>
          <w:szCs w:val="16"/>
          <w:color w:val="auto"/>
        </w:rPr>
      </w:pPr>
    </w:p>
    <w:p>
      <w:pPr>
        <w:ind w:left="720" w:right="579" w:hanging="319"/>
        <w:spacing w:after="0" w:line="261" w:lineRule="auto"/>
        <w:tabs>
          <w:tab w:leader="none" w:pos="720" w:val="left"/>
        </w:tabs>
        <w:numPr>
          <w:ilvl w:val="0"/>
          <w:numId w:val="11"/>
        </w:numPr>
        <w:rPr>
          <w:rFonts w:ascii="Arial" w:cs="Arial" w:eastAsia="Arial" w:hAnsi="Arial"/>
          <w:sz w:val="16"/>
          <w:szCs w:val="16"/>
          <w:color w:val="231F20"/>
        </w:rPr>
      </w:pPr>
      <w:r>
        <w:rPr>
          <w:rFonts w:ascii="Arial" w:cs="Arial" w:eastAsia="Arial" w:hAnsi="Arial"/>
          <w:sz w:val="18"/>
          <w:szCs w:val="18"/>
          <w:color w:val="auto"/>
        </w:rPr>
        <w:t>the possibility that we may be adversely affected by other economic, business and/or competitive factors.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Business Operations and Industry</w:t>
      </w:r>
    </w:p>
    <w:p>
      <w:pPr>
        <w:spacing w:after="0" w:line="198"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The transactions contemplated with Foxconn under the Asset Purchase Agreement are subject to closing conditions, including further negotiation of the Contract Manufacturing Agreement, the Lordstown Facility Lease and regulatory approvals, and may not be consummated, provide the benefits that we seek and no assurances can be given that we will enter into a joint product development agreement or other agreements with Foxconn.</w:t>
      </w:r>
    </w:p>
    <w:p>
      <w:pPr>
        <w:spacing w:after="0" w:line="185"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The closing of the APA is subject to certain conditions, including (a) the parties entering into the Contract Manufacturing Agreement and Lordstown Facility Lease and (b) receipt of a communication that the CFIUS has concluded that the transaction is not a “covered transaction” or that CFIUS has completed its review of the transaction and determined there are no national security concerns with the transaction. If the APA is terminated or if the transaction does not close prior to the later of (i) April 30, 2022 and (ii) 10 days after the transaction is cleared by CFIUS, we are obligated to repay the down payments to Foxconn plus accrued interest. Furthermore, among other conditions, we are required to maintain minimum cash balances of $50 million through March 1, 2022 and $30 million thereafter. We have granted Foxconn a first priority security interest in substantially all of our assets to secure the repayment and other obligations under the APA. Should we default on our obligations or the APA does not close,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8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require the funding, operational and supply chain support that we expect to receive from the Foxconn transactions as described above (see Part I-Item 1. Business-Foxconn Transactions), including a joint product development agreement and an appropriate funding structure that enables us to raise substantial additional capital necessary to bring the Endurance into production and to fund future vehicle development.</w:t>
      </w:r>
    </w:p>
    <w:p>
      <w:pPr>
        <w:spacing w:after="0" w:line="191" w:lineRule="exact"/>
        <w:rPr>
          <w:sz w:val="20"/>
          <w:szCs w:val="20"/>
          <w:color w:val="auto"/>
        </w:rPr>
      </w:pPr>
    </w:p>
    <w:p>
      <w:pPr>
        <w:ind w:left="60" w:right="279"/>
        <w:spacing w:after="0" w:line="274" w:lineRule="auto"/>
        <w:rPr>
          <w:sz w:val="20"/>
          <w:szCs w:val="20"/>
          <w:color w:val="auto"/>
        </w:rPr>
      </w:pPr>
      <w:r>
        <w:rPr>
          <w:rFonts w:ascii="Arial" w:cs="Arial" w:eastAsia="Arial" w:hAnsi="Arial"/>
          <w:sz w:val="17"/>
          <w:szCs w:val="17"/>
          <w:color w:val="auto"/>
        </w:rPr>
        <w:t>Because the APA is subject to conditions to closing, including the further negotiation of additional agreements and regulatory and other matters that are outside of our control, there is no assurance that we will complete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any of the transactions contemplated by the APA. Further, the Contract Manufacturing Agreement, Lordstown Facility Lease, and any additional agreements related to financing or joint product development are subject to the negotiation of terms satisfactory to both parties. No assurances can be given as to the timing or completion of any such agreements or the extent to which such agreements would be on terms favorable to us. If we are unable to successfully complete the contemplated transactions and relationship with Foxconn on a timely basis, our business plan, financial condition and results of operations would be materially and adversely impaired.</w:t>
      </w:r>
    </w:p>
    <w:p>
      <w:pPr>
        <w:spacing w:after="0" w:line="18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Furthermore, we cannot predict whether we will be able to fully realize the anticipated benefits from any aspects of our contemplated relationship with Foxconn, particularly since Foxconn has a limited operating history manufacturing EVs. A variety of other factors, including our need for additional financing, supply chain disruptions, and the consequences of these factors on testing and other activities, could present challenges that impact the timing and cost of our commercial production.</w:t>
      </w:r>
    </w:p>
    <w:p>
      <w:pPr>
        <w:spacing w:after="0" w:line="167"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b w:val="1"/>
          <w:bCs w:val="1"/>
          <w:i w:val="1"/>
          <w:iCs w:val="1"/>
          <w:color w:val="231F20"/>
        </w:rPr>
        <w:t>We require significant additional capital to implement our business plan, and it may not be available on acceptable terms, if at all, creating substantial doubt as to our ability to continue as a going concern.</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The design, manufacture and sale of vehicles is a capital-intensive and complex business. Our business plan to design, produce, sell and service the Endurance and any additional vehicles requires substantial additional capital for, and well in advance of, commencing commercial production at reasonable scale. Even if the Foxconn Transactions are consummated in accordance with the current terms and on the anticipated timeline, we will need additional funding to continue our development efforts and maintain our current plans and timeline for commercial production. The amounts required are significant and we believe will be very difficult to raise without an additional investment from, or participation by, Foxconn in such a funding.</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opinion of our independent registered public accountants on our audited financial statements as</w:t>
      </w:r>
    </w:p>
    <w:p>
      <w:pPr>
        <w:ind w:left="60" w:right="119"/>
        <w:spacing w:after="0" w:line="236" w:lineRule="auto"/>
        <w:rPr>
          <w:sz w:val="20"/>
          <w:szCs w:val="20"/>
          <w:color w:val="auto"/>
        </w:rPr>
      </w:pPr>
      <w:r>
        <w:rPr>
          <w:rFonts w:ascii="Arial" w:cs="Arial" w:eastAsia="Arial" w:hAnsi="Arial"/>
          <w:sz w:val="18"/>
          <w:szCs w:val="18"/>
          <w:color w:val="231F20"/>
        </w:rPr>
        <w:t>of and for the year ended December 31, 2021 contains an explanatory paragraph regarding substantial doubt about our ability to continue as a going concern. Our ability to continue as a going concern is dependent on our ability to complete the development of our electric vehicles, obtain regulatory approval, raise substantial capital, begin commercial scale production and launch the sale of such vehicles. As our current level of cash and cash equivalents is not sufficient to fund commercial scale production and the launch of sale of such vehicles, there is substantial doubt regarding our ability to continue as a going concern for a period of at least one year from the date of issuance of the consolidated financial statements included in this report. If we are not able to continue as a going concern, or if there is continued doubt about our ability to do so, the value of your investment would be materially and adversely affected, or perhaps may not have any value.</w:t>
      </w:r>
    </w:p>
    <w:p>
      <w:pPr>
        <w:spacing w:after="0" w:line="193"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231F20"/>
        </w:rPr>
        <w:t>To alleviate these conditions, management is delaying certain expenditures in order to fund operations at reduced levels, pursuing the Foxconn Transactions and additional Foxconn arrangements, and evaluating various funding alternatives, including seeking to raise additional funds through the issuance of equity, mezzanine or debt securities, through arrangements with strategic partners or through obtaining financing from government or financial institutions. However, thus far, our access to additional capital has been limited. Numerous factors, including the significant amount of capital required, the fact that our bill of materials is currently, and expected to continue to be, substantially higher than our anticipated selling price, uncertainty surrounding regulatory approval and the performance of the vehicle, along with meaningful exposure to material losses related to ongoing litigation and the SEC investigation, among other factors are impeding our ability to raise capital. There can be no assurances that we will raise sufficient additional capital as and when needed.</w:t>
      </w:r>
    </w:p>
    <w:p>
      <w:pPr>
        <w:spacing w:after="0" w:line="197"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231F20"/>
        </w:rPr>
        <w:t>The Equity Purchase Agreement is subject to certain limitations and conditions. The actual amount that we can raise under this facility will depend on market conditions as well as limitations in the agreement. In particular, at current market prices of our shares of Class A common stock, without stockholder approval, we cannot issue or sell to YA shares of our Class A common stock in excess of 35,144,690 shares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231F20"/>
        </w:rPr>
        <w:t>“Exchange Cap”), which would limit the amount of funds we are able to raise to significantly less than the $400 million commitment under the Equity Purchase Agreement.</w:t>
      </w:r>
    </w:p>
    <w:p>
      <w:pPr>
        <w:spacing w:after="0" w:line="19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These factors may make the timing, amount, terms or conditions of additional financings unattractive to us. If we raise additional funds by issuing equity, equity-linked or debt securities, those securities may have rights, preferences or privileges senior to the rights of our currently issued and outstanding equity or debt, and our existing stockholders may experience dilution, which may be substantial. We believe, given the financial and operational challenges we are facing, it is likely that we would issue preferred stock or debt, which may be secured. Such preferred stock or debt securities would have liquidation and other preferences that could impair the recovery of our Class A common stock. In addition, such securities may have covenants that restrict our financial and operating flexibility.</w:t>
      </w:r>
    </w:p>
    <w:p>
      <w:pPr>
        <w:spacing w:after="0" w:line="19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have accepted an invitation from the U.S. Department of Energy and have started the due diligence process toward securing an ATVM loan. We have been informed that an ATVM loan would likely be secured by a first priority lien on our assets. There can be no assurance that this loan will be available to us and, if made available, what the amount, terms, collateral requirements and timing for any funding would be. In the near term, we do not believe that we would be able to satisfy the conditions to obtain an ATVM loan, including the requirement to demonstrate our viability as a company.</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If we are unable to raise substantial additional capital in the near term, our operations and production plans will be scaled back or curtailed and, if any funds raised are insufficient to provide a bridge to full commercial production, our operations could be severely curtailed or cease entirely. Further, i</w:t>
      </w:r>
      <w:r>
        <w:rPr>
          <w:rFonts w:ascii="Arial" w:cs="Arial" w:eastAsia="Arial" w:hAnsi="Arial"/>
          <w:sz w:val="18"/>
          <w:szCs w:val="18"/>
          <w:color w:val="000000"/>
        </w:rPr>
        <w:t>f the APA does not close,</w:t>
      </w:r>
      <w:r>
        <w:rPr>
          <w:rFonts w:ascii="Arial" w:cs="Arial" w:eastAsia="Arial" w:hAnsi="Arial"/>
          <w:sz w:val="18"/>
          <w:szCs w:val="18"/>
          <w:color w:val="231F20"/>
        </w:rPr>
        <w:t xml:space="preserve"> </w:t>
      </w:r>
      <w:r>
        <w:rPr>
          <w:rFonts w:ascii="Arial" w:cs="Arial" w:eastAsia="Arial" w:hAnsi="Arial"/>
          <w:sz w:val="18"/>
          <w:szCs w:val="18"/>
          <w:color w:val="000000"/>
        </w:rPr>
        <w:t>including because we are unable to fulfill our obligations to maintain our minimum cash balance commitments under the APA,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94"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231F20"/>
        </w:rPr>
        <w:t>Even if we secure necessary financing in the short term, we expect our future growth to continue to require substantial funding, and the timing for and ability to generate sufficient funds from operations is uncertain. We also intend to develop additional all-electric vehicles geared for the commercial market, which will require additional capital investment with returns and timelines that will be difficult to predict.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could be materially adversely affected.</w:t>
      </w:r>
    </w:p>
    <w:p>
      <w:pPr>
        <w:spacing w:after="0" w:line="167"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We have faced and expect to continue to face disruptions to the supply chain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affecting our access to critical raw materials and components, and may be unable to adequately control the costs or maintain adequate supply of components and raw materials to facilitate completion of our development plans and full commercial production timeline.</w:t>
      </w:r>
    </w:p>
    <w:p>
      <w:pPr>
        <w:spacing w:after="0" w:line="19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may be unable to adequately control the costs associated with our operations, even with continued refinement of our operating plan. We expect to incur significant costs related to procuring materials required to manufacture, assemble and test our vehicles. The prices for and availability of these materials fluctuate depending on factors beyond our control.</w:t>
      </w:r>
    </w:p>
    <w:p>
      <w:pPr>
        <w:spacing w:after="0" w:line="191"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Disruptions to the supply chain, including those due to the COVID-19 pandemic, have resulted in challenges obtaining certain components and raw materials in a timely manner and/or at favorable pricing. As a result, we have adjusted and may continue to adjust our design, materials, components,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production processes, and production timeline to adapt to these limitations. Further changes in our timeline, capital resources, business conditions, the impact of COVID-19 or other pandemics, governmental changes, actual or threatened geopolitical conflict or war and other factors beyond our control or that we do not presently anticipate, could affect our ability to receive the material we need for production.</w:t>
      </w:r>
    </w:p>
    <w:p>
      <w:pPr>
        <w:spacing w:after="0" w:line="200" w:lineRule="exact"/>
        <w:rPr>
          <w:sz w:val="20"/>
          <w:szCs w:val="20"/>
          <w:color w:val="auto"/>
        </w:rPr>
      </w:pPr>
    </w:p>
    <w:p>
      <w:pPr>
        <w:spacing w:after="0" w:line="201"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Our business also depends on the continued supply of battery cells for our vehicles. We are exposed to multiple risks relating to availability and pricing of quality lithium- ion battery cells. As we and the broader electric vehicle industry grow in the future, there is no guarantee that battery cell manufacturers will be able and willing to continue to increase their capacity to meet demand. In addition, the automotive and other industries are currently experiencing a global supply shortage of semiconductors, which has impacted and could continue to impact our testing and production costs, and volume and timeline of production. Furthermore, inflation has significantly impacted the prices of key raw materials that will be included in the Endurance and its components, such as steel, aluminum, copper, neodymium, nickel and cobalt. Inflation has also impacted our labor costs and certain indirect costs, such as utilities, and there continue to be supply shortages of certain materials and components.</w:t>
      </w:r>
    </w:p>
    <w:p>
      <w:pPr>
        <w:spacing w:after="0" w:line="19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Furthermore, currency fluctuations, labor shortages, tariffs or shortages in petroleum, steel and aluminum or other raw materials and other economic or political conditions have impacted the transportation industry and resulted and may continue to result in significant increases in freight charges, delays in obtaining critical materials or changes in the specifications for those materials.</w:t>
      </w:r>
    </w:p>
    <w:p>
      <w:pPr>
        <w:spacing w:after="0" w:line="191" w:lineRule="exact"/>
        <w:rPr>
          <w:sz w:val="20"/>
          <w:szCs w:val="20"/>
          <w:color w:val="auto"/>
        </w:rPr>
      </w:pPr>
    </w:p>
    <w:p>
      <w:pPr>
        <w:ind w:left="60" w:right="719"/>
        <w:spacing w:after="0" w:line="238" w:lineRule="auto"/>
        <w:rPr>
          <w:sz w:val="20"/>
          <w:szCs w:val="20"/>
          <w:color w:val="auto"/>
        </w:rPr>
      </w:pPr>
      <w:r>
        <w:rPr>
          <w:rFonts w:ascii="Arial" w:cs="Arial" w:eastAsia="Arial" w:hAnsi="Arial"/>
          <w:sz w:val="18"/>
          <w:szCs w:val="18"/>
          <w:color w:val="auto"/>
        </w:rPr>
        <w:t>As a result of the foregoing and limited initial production volume, our current bill of materials cost is substantially higher than the anticipated selling price of the Endurance at launch. There can be no assurance that we will be able to reduce our bill of materials cost below our anticipated selling price Endurance.</w:t>
      </w:r>
    </w:p>
    <w:p>
      <w:pPr>
        <w:spacing w:after="0" w:line="205" w:lineRule="exact"/>
        <w:rPr>
          <w:sz w:val="20"/>
          <w:szCs w:val="20"/>
          <w:color w:val="auto"/>
        </w:rPr>
      </w:pPr>
    </w:p>
    <w:p>
      <w:pPr>
        <w:jc w:val="both"/>
        <w:ind w:left="60" w:right="359"/>
        <w:spacing w:after="0" w:line="237" w:lineRule="auto"/>
        <w:rPr>
          <w:sz w:val="20"/>
          <w:szCs w:val="20"/>
          <w:color w:val="auto"/>
        </w:rPr>
      </w:pPr>
      <w:r>
        <w:rPr>
          <w:rFonts w:ascii="Arial" w:cs="Arial" w:eastAsia="Arial" w:hAnsi="Arial"/>
          <w:sz w:val="18"/>
          <w:szCs w:val="18"/>
          <w:color w:val="auto"/>
        </w:rPr>
        <w:t>Prices for our raw materials, components and other inputs may continue to increase our operating costs and could further reduce our margins. In addition, the growth in popularity of electric vehicles without a significant expansion in battery cell production capacity or sufficient availability of semiconductors could result in shortages, which would increase our cost of materials and impact our prospects. These factors could also delay our overall production timeline, limit production volume and impact our profitability and 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limited operating history makes it difficult for us to evaluate our future business prospects.</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are a company with a limited operating history and have generated no revenue to date. As we attempt to transition from research and development activities to commercial production and sales, it has been and will continue to be difficult, if not impossible, to forecast our future results. We have limited insight into trends that may emerge and affect our business. The estimated costs and timelines that we have developed and continue to revise to reach full scale commercial production are subject to inherent risks and uncertainties involved in the transition from a start-up company focused on research and development activities to the large-scale manufacture and sale of vehicles. We have already incurred increased costs and there can be no assurance that our further estimates related to the costs and timing necessary to complete the design and engineering of the Endurance and to complete the retooling of the Lordstown facility will prove accurate. Our current cost of our bill of materials for the Endurance is well above our anticipated selling price. Until such time as we are able to lower the bill of materials, we are likely to limit our expected production in order to minimize our losses, which we anticipate being through 2023 or potentially longer. These are complex processes that may be subject to further delays, cost overruns and other unforeseen issues.</w:t>
      </w:r>
    </w:p>
    <w:p>
      <w:pPr>
        <w:spacing w:after="0" w:line="189"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In addition, we have engaged in limited marketing activities to date, so even if we are able to bring the Endurance to market on time and on budget, there can be no assurance that fleet customers will embrace our product in significant numbers. Market conditions, many of which are outside of our control and subject to change, including the availability and terms of financing, general economic conditions, the impacts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ongoing uncertainties created by the COVID-19 pandemic, fuel and energy prices, regulatory requirements and incentives, competition and the pace and extent of vehicle electrification generally, will impact demand for the Endurance, other vehicles we develop and ultimately our success.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Since our inception, we have experienced losses and expect to incur additional losses in the future.</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Since inception, we have incurred, and we expect in the future that we will continue to incur, losses and negative cash flow, either or both of which may be significant. The working capital funding necessary to start a new electric vehicle manufacturing company is significant, and other companies have tried and failed over the last several years with billions of dollars of investment capital. While we expect to benefit from our management’s experience, the technology we have licensed and developed to date and the advantages offered by the Lordstown facility and the Foxconn Transactions, we do not expect to be profitable for several years, and perhaps longer, as we invest in our business, build capacity and ramp up operations, and we cannot assure you that we will ever achieve or be able to maintain profitability in the future. Failure to become profitable may materially and adversely affect the value of your investment. If we are ever to achieve profitability, it will be dependent upon additional capital as well as the successful development and commercial introduction and acceptance of the Endurance and other vehicles we develop, which may not occur.</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As discussed above, significant additional funding is required in the future for a variety of reasons. There can be no assurance that financing will be available to us on favorable terms and timing or at all. We and our auditors have identified conditions and events that raise doubt about our ability to continue as a going concern. If we are not able to continue as a going concern, or if there is continued doubt about our ability to do so, the value of your investment would be materially and adversely affected.</w:t>
      </w:r>
    </w:p>
    <w:p>
      <w:pPr>
        <w:spacing w:after="0" w:line="167"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b w:val="1"/>
          <w:bCs w:val="1"/>
          <w:i w:val="1"/>
          <w:iCs w:val="1"/>
          <w:color w:val="231F20"/>
        </w:rPr>
        <w:t>We are subject to risks related to health epidemics and pandemics, including the ongoing COVID-19 pandemic, which have adversely affected and may continue to adversely affect our business and operating results.</w:t>
      </w:r>
    </w:p>
    <w:p>
      <w:pPr>
        <w:spacing w:after="0" w:line="12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We face various risks related to public health issues, including epidemics, pandemics and other outbreaks, including the ongoing COVID-19 pandemic. The effects and potential effects of COVID-19, including, but not limited to, its impact on general economic conditions, trade and financing markets, labor shortages, changes in customer behavior and continuity in business operations, create significant uncertainty.</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The spread of COVID-19 has also disrupted the manufacturing, delivery and overall supply chain of vehicle manufacturers and suppliers and has led to a global decrease in vehicle sales in markets around the world. In particular, the COVID-19 crisis may cause a decrease in demand for our vehicles if fleet operators delay purchases of vehicles generally, if prices for fuel used by internal combustion engine vehicles decrease materially or they defer electric vehicle purchases in particular. In addition, the COVID-19 crisis has caused and may continue to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disruptions in our manufacturing operations and delays in our schedule to full commercial production of the Endurance, among other negative effects.</w:t>
      </w:r>
    </w:p>
    <w:p>
      <w:pPr>
        <w:spacing w:after="0" w:line="20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The pandemic has resulted in government authorities implementing many measures to contain the spread of COVID-19, including travel bans and restrictions, quarantines, shelter-in-place and stay-at- home orders and business shutdowns. These measures may be in place for a significant period of time and may be reinstituted if conditions deteriorate, which could adversely affect our start-up and manufacturing plans. Measures that have been relaxed may be reimplemented if COVID-19 or variants of COVID-19 continue to spread or if vaccination programs are slower or less effective than anticipated. If, as a result of these measures, we have to limit the number of employees and contractors at the Lordstown facility at a given time, it could cause a delay in retooling efforts or in the production schedule of the Endurance. Further, our sales and marketing activities may be adversely affected due to the cancellation or reduction of in-person sales activities,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meetings, events and conferences. If our workforce is unable to work effectively, including due to illness, quarantines, government actions or other restrictions in connection with COVID-19 or variants of COVID-19, our operations will be adversely affected. Our planned operations at a single facility, the Lordstown facility, concentrate these risks.</w:t>
      </w:r>
    </w:p>
    <w:p>
      <w:pPr>
        <w:spacing w:after="0" w:line="205"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231F20"/>
        </w:rPr>
        <w:t>The extent to which the COVID-19 pandemic may continue to affect our business will depend on continued developments, which are uncertain and cannot be predicted, and the pandemic has and may continue to exacerbate the other risks described in this report. Even after the COVID-19 pandemic has subsided, we may continue to suffer an adverse effect on our business due to the global economic effect of COVID-19, including continued supply chain disruption and any economic recession. If the immediate or prolonged effects of the COVID-19 pandemic have a significant adverse impact on government finances, it would create uncertainty as to the continuing availability of incentives related to electric vehicle purchases and other governmental support programs.</w:t>
      </w:r>
    </w:p>
    <w:p>
      <w:pPr>
        <w:spacing w:after="0" w:line="186" w:lineRule="exact"/>
        <w:rPr>
          <w:sz w:val="20"/>
          <w:szCs w:val="20"/>
          <w:color w:val="auto"/>
        </w:rPr>
      </w:pPr>
    </w:p>
    <w:p>
      <w:pPr>
        <w:ind w:left="60" w:right="939"/>
        <w:spacing w:after="0" w:line="301" w:lineRule="auto"/>
        <w:rPr>
          <w:sz w:val="20"/>
          <w:szCs w:val="20"/>
          <w:color w:val="auto"/>
        </w:rPr>
      </w:pPr>
      <w:r>
        <w:rPr>
          <w:rFonts w:ascii="Arial" w:cs="Arial" w:eastAsia="Arial" w:hAnsi="Arial"/>
          <w:sz w:val="17"/>
          <w:szCs w:val="17"/>
          <w:b w:val="1"/>
          <w:bCs w:val="1"/>
          <w:i w:val="1"/>
          <w:iCs w:val="1"/>
          <w:color w:val="231F20"/>
        </w:rPr>
        <w:t>Failure to successfully complete the retooling of the Lordstown facility to support commercial production of electric vehicles could adversely affect our business and results of operations.</w:t>
      </w:r>
    </w:p>
    <w:p>
      <w:pPr>
        <w:spacing w:after="0" w:line="15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While we believe the Lordstown facility provides significant competitive advantages, retooling and modifying the facility for production of electric vehicles has and may continue to be complicated and present significant challenges, including the cost overruns we have already experienced. The Lordstown facility is massive, spanning over 6.2 million square feet, and many areas have needed to be retooled and modified. The facility is in near-production-ready condition with modern robotics, painting, assembly and stamping equipment, and we are working towards completing our production lines for in-wheel motors and initial lithium-ion battery packs. However, we will need to continue to make investments in order to commence full production of the Endurance, which requires us to raise additional financing. Further, we will need sufficient capital in the future in order to invest in the tooling that we expect will enable us to eventually lower the bill of materials cost of the Endurance and make continued design enhancements. Following the closing of the APA, we would continue to be responsible for additional capital investments for certain tooling and other equipment specifically related to production of the Endurance. Foxconn would own and be responsible for maintaining and investing in general manufacturing and assembly assets, excluding the battery and hub motor lines that would be operated by Foxconn, but owned and maintained by us. As with any large-scale capital project, retooling the Lordstown facility could be subject to further delays, cost overruns or other complications. These risks could be exacerbated because we are attempting to modify a complex facility, originally designed to build traditional internal combustion engine vehicles, to support the emerging technologies behind electric vehicles. In addition, we have made significant investments in soft tools that are designed for low volume production and prototyping. As we contemplate investing in hard tools that are designed for higher volumes, the value of our soft tools may be impaired or determined to have no value at all. These soft tools will be depreciated over their useful lives, but as we contemplate investing in hard tools that are designed for higher volumes, the value of our soft tools may be impaired. Therefore, some or perhaps a material portion of our soft tool assets may need to be written down or written entirely off.</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In order to commence commercial production at the Lordstown facility, we will also need to hire and train a significant number of additional employees and integrate a yet-to-be-fully-developed supply chain. A failure to commence commercial production at the Lordstown facility on schedule would lead to additional costs and would delay our ability to generate meaningful revenues, if at all. In addition, it would allow competitors to enter the market and capture market share before us, prevent us from gaining the confidence of potential customers and open the door to increased competition. All the foregoing could hinder our ability to successfully launch and grow our business and achieve a competitive position in the market.</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b w:val="1"/>
          <w:bCs w:val="1"/>
          <w:i w:val="1"/>
          <w:iCs w:val="1"/>
          <w:color w:val="231F20"/>
        </w:rPr>
        <w:t>We will rely on complex machinery for our operations and production involves a significant degree of risk and uncertainty in terms of operational performance and costs.</w:t>
      </w:r>
    </w:p>
    <w:p>
      <w:pPr>
        <w:spacing w:after="0" w:line="162" w:lineRule="exact"/>
        <w:rPr>
          <w:sz w:val="20"/>
          <w:szCs w:val="20"/>
          <w:color w:val="auto"/>
        </w:rPr>
      </w:pPr>
    </w:p>
    <w:p>
      <w:pPr>
        <w:ind w:left="60" w:right="379"/>
        <w:spacing w:after="0" w:line="274" w:lineRule="auto"/>
        <w:rPr>
          <w:sz w:val="20"/>
          <w:szCs w:val="20"/>
          <w:color w:val="auto"/>
        </w:rPr>
      </w:pPr>
      <w:r>
        <w:rPr>
          <w:rFonts w:ascii="Arial" w:cs="Arial" w:eastAsia="Arial" w:hAnsi="Arial"/>
          <w:sz w:val="17"/>
          <w:szCs w:val="17"/>
          <w:color w:val="231F20"/>
        </w:rPr>
        <w:t>The production of our vehicles will rely heavily on complex machinery and will involve a significant degree of uncertainty and risk in terms of operational performance and costs. The manufacturing plant will consist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231F20"/>
        </w:rPr>
        <w:t>large-scale machinery combining many components. The manufacturing plant components are likely to suffer unexpected malfunctions from time to time and will depend on repairs and spare parts to resume operations, which may not be available when needed.</w:t>
      </w:r>
    </w:p>
    <w:p>
      <w:pPr>
        <w:spacing w:after="0" w:line="189"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Unexpected malfunctions of the manufacturing plant components may significantly affect the intended operational efficiency of the Lordstown facility. Further, if we successfully close the transactions contemplated by the APA, Foxconn would own the Lordstown facility and general manufacturing and assembly assets will be its responsibility and under its control. Foxconn would operate the equipment under the Contract Manufacturing Agreement. If Foxconn is unable to timely and effectively maintain the equipment our vehicles rely on for production, we may experience a significant interruption in our ability to supply the Endurance.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87" w:lineRule="exact"/>
        <w:rPr>
          <w:sz w:val="20"/>
          <w:szCs w:val="20"/>
          <w:color w:val="auto"/>
        </w:rPr>
      </w:pPr>
    </w:p>
    <w:p>
      <w:pPr>
        <w:ind w:left="60" w:right="399"/>
        <w:spacing w:after="0" w:line="268" w:lineRule="auto"/>
        <w:rPr>
          <w:sz w:val="20"/>
          <w:szCs w:val="20"/>
          <w:color w:val="auto"/>
        </w:rPr>
      </w:pPr>
      <w:r>
        <w:rPr>
          <w:rFonts w:ascii="Arial" w:cs="Arial" w:eastAsia="Arial" w:hAnsi="Arial"/>
          <w:sz w:val="18"/>
          <w:szCs w:val="18"/>
          <w:b w:val="1"/>
          <w:bCs w:val="1"/>
          <w:i w:val="1"/>
          <w:iCs w:val="1"/>
          <w:color w:val="231F20"/>
        </w:rPr>
        <w:t>We anticipate outsourcing the manufacturing of the Endurance to Foxconn under the Contract Manufacturing Agreement, and we may be subject to risks that result in the disruption of production and our operations.</w:t>
      </w:r>
    </w:p>
    <w:p>
      <w:pPr>
        <w:spacing w:after="0" w:line="193"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231F20"/>
        </w:rPr>
        <w:t>As part of the Foxconn Transactions, we expect to enter into the Contract Manufacturing Agreement with Foxconn, pursuant to which Foxconn would manufacture the Endurance at the Lordstown facility. We would continue to own certain assets in the Lordstown facility, principally the hub motor and battery module packing lines and tooling specific to the Endurance. However, we anticipate Foxconn would operate and be responsible for the equipment under its control.</w:t>
      </w:r>
    </w:p>
    <w:p>
      <w:pPr>
        <w:spacing w:after="0" w:line="205"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231F20"/>
        </w:rPr>
        <w:t>The manufacture of the Endurance by Foxconn would require the successful coordination among us and Foxconn, and will depend on our ability to, for example, jointly manage a production schedule, coordinate with suppliers and forecast the appropriate quantity of supplies, disseminate proprietary information and technology, conduct product testing and meet quality assurance standards. If we are unable to maintain our relationship with Foxconn or effectively manage outsourcing the production of the Endurance to Foxconn, we may be unable to ensure continuity, quality, and compliance with our design specifications or applicable laws and regulations, which may ultimately disrupt our production and operations.</w:t>
      </w:r>
    </w:p>
    <w:p>
      <w:pPr>
        <w:spacing w:after="0" w:line="207" w:lineRule="exact"/>
        <w:rPr>
          <w:sz w:val="20"/>
          <w:szCs w:val="20"/>
          <w:color w:val="auto"/>
        </w:rPr>
      </w:pPr>
    </w:p>
    <w:p>
      <w:pPr>
        <w:ind w:left="60" w:right="99"/>
        <w:spacing w:after="0" w:line="251" w:lineRule="auto"/>
        <w:rPr>
          <w:sz w:val="20"/>
          <w:szCs w:val="20"/>
          <w:color w:val="auto"/>
        </w:rPr>
      </w:pPr>
      <w:r>
        <w:rPr>
          <w:rFonts w:ascii="Arial" w:cs="Arial" w:eastAsia="Arial" w:hAnsi="Arial"/>
          <w:sz w:val="18"/>
          <w:szCs w:val="18"/>
          <w:color w:val="231F20"/>
        </w:rPr>
        <w:t>Even if we are able to successfully coordinate our manufacturing relationship with Foxconn, events beyond our control could result in the inability of Foxconn to timely and effectively manufacture the Endurance. Foxconn may experience interruptions with manufacturing processes such as, but not limited to, the malfunction of the equipment under its control, capacity constraints, the inability to obtain the necessary permits or the failure to meet our quality standards or production needs. Any such interruptions could result in product defects or shortages, manufacturing failures or vehicles not being manufactured to their applicable specifications or could impair our ability to obtain regulatory approvals for our vehicles, which may result in the delay of the launch of the Endurance and our supply of vehicles into the market. Further, by outsourcing production to Foxconn, we may be unable to react quickly or effectively to any unanticipated changes that may arise during production. We may not be able to resolve any such issues related to outsourcing the manufacturing of the Endurance in a timely or cost-effective manner, or at all, which could materially adversely affect our production, business, financial condition, cash flows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219"/>
        <w:spacing w:after="0" w:line="268" w:lineRule="auto"/>
        <w:rPr>
          <w:sz w:val="20"/>
          <w:szCs w:val="20"/>
          <w:color w:val="auto"/>
        </w:rPr>
      </w:pPr>
      <w:r>
        <w:rPr>
          <w:rFonts w:ascii="Arial" w:cs="Arial" w:eastAsia="Arial" w:hAnsi="Arial"/>
          <w:sz w:val="18"/>
          <w:szCs w:val="18"/>
          <w:b w:val="1"/>
          <w:bCs w:val="1"/>
          <w:i w:val="1"/>
          <w:iCs w:val="1"/>
          <w:color w:val="231F20"/>
        </w:rPr>
        <w:t>With our vehicle still under development, we do not have any current customers or any pending orders and there is no assurance non-binding pre-orders and other indications of interest will be converted into binding orders or sales.</w:t>
      </w:r>
    </w:p>
    <w:p>
      <w:pPr>
        <w:spacing w:after="0" w:line="193" w:lineRule="exact"/>
        <w:rPr>
          <w:sz w:val="20"/>
          <w:szCs w:val="20"/>
          <w:color w:val="auto"/>
        </w:rPr>
      </w:pPr>
    </w:p>
    <w:p>
      <w:pPr>
        <w:ind w:left="60" w:right="159"/>
        <w:spacing w:after="0" w:line="251" w:lineRule="auto"/>
        <w:rPr>
          <w:sz w:val="20"/>
          <w:szCs w:val="20"/>
          <w:color w:val="auto"/>
        </w:rPr>
      </w:pPr>
      <w:r>
        <w:rPr>
          <w:rFonts w:ascii="Arial" w:cs="Arial" w:eastAsia="Arial" w:hAnsi="Arial"/>
          <w:sz w:val="18"/>
          <w:szCs w:val="18"/>
          <w:color w:val="231F20"/>
        </w:rPr>
        <w:t>Our business model is focused on building relationships with large fleet customers. To date, we have engaged in limited marketing activities, and we have no binding purchase orders or commitments from customers. The previously reported non-binding pre-orders that we have signed and other indications of interest that we have received do not require customer deposits (although we have some customer deposits) and may not be converted into binding orders or sales. We have also engaged in discussions with fleet managers and other organizations that have indicated interest from their customers or stakeholders in the Endurance. Until the time that the Endurance’s design and development is complete and tested and the Endurance is commercially available for purchase, and until we are able to scale up our marketing function to support sales, there will be uncertainty as to customer demand for the Endurance. The potentially long wait from the time a non-binding pre-order is made, or other indication of interest is provided until the time the Endurance is delivered, and any delays beyond expected wait times, could also impact customer decisions on whether to ultimately make a purchase. Even if we are able to obtain binding orders, customers may limit their volume of purchases initially as they assess our vehicles and whether to make a broader transition to electric vehicles.</w:t>
      </w:r>
    </w:p>
    <w:p>
      <w:pPr>
        <w:spacing w:after="0" w:line="210"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color w:val="231F20"/>
        </w:rPr>
        <w:t>Commercializing the Endurance and other potential vehicles we may develop will be a long process and depends on our ability to fund and scale up our productions, including through the consummation of the Foxconn Transactions and securing additional funding, and expand our marketing functions, as well as the safety, reliability, efficiency and quality of our vehicles, and the support and service that will be available. It will also depend on factors outside of our control, such as competition,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183" w:lineRule="exact"/>
        <w:rPr>
          <w:sz w:val="20"/>
          <w:szCs w:val="20"/>
          <w:color w:val="auto"/>
        </w:rPr>
      </w:pPr>
    </w:p>
    <w:p>
      <w:pPr>
        <w:ind w:left="60" w:right="379"/>
        <w:spacing w:after="0" w:line="268" w:lineRule="auto"/>
        <w:rPr>
          <w:sz w:val="20"/>
          <w:szCs w:val="20"/>
          <w:color w:val="auto"/>
        </w:rPr>
      </w:pPr>
      <w:r>
        <w:rPr>
          <w:rFonts w:ascii="Arial" w:cs="Arial" w:eastAsia="Arial" w:hAnsi="Arial"/>
          <w:sz w:val="18"/>
          <w:szCs w:val="18"/>
          <w:b w:val="1"/>
          <w:bCs w:val="1"/>
          <w:i w:val="1"/>
          <w:iCs w:val="1"/>
          <w:color w:val="231F20"/>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93"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Our success will be dependent upon our ability to enter into supply agreements and maintain our relationships with suppliers who are critical and necessary to the output and production of our vehicles. We also rely on a small group of suppliers to provide us with key components for our vehicles. The supply agreements we have or may enter into with key suppliers in the future may have provisions where such agreements can be terminated in various circumstances, including potentially without cause, or may not provide for access to supplies in accordance with our timeline or budget. If these suppliers become unable to provide, experience delays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89"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color w:val="231F20"/>
        </w:rPr>
        <w:t>Further, we have not secured supply agreements for all of our components. We may be at a disad</w:t>
      </w:r>
      <w:r>
        <w:rPr>
          <w:rFonts w:ascii="Arial" w:cs="Arial" w:eastAsia="Arial" w:hAnsi="Arial"/>
          <w:sz w:val="18"/>
          <w:szCs w:val="18"/>
          <w:b w:val="1"/>
          <w:bCs w:val="1"/>
          <w:i w:val="1"/>
          <w:iCs w:val="1"/>
          <w:color w:val="231F20"/>
        </w:rPr>
        <w:t>v</w:t>
      </w:r>
      <w:r>
        <w:rPr>
          <w:rFonts w:ascii="Arial" w:cs="Arial" w:eastAsia="Arial" w:hAnsi="Arial"/>
          <w:sz w:val="18"/>
          <w:szCs w:val="18"/>
          <w:color w:val="231F20"/>
        </w:rPr>
        <w:t>antage in negotiating supply agreements for the production of our vehicles due to our limited operating history, low production volumes and continued refinement of our component requirements through the design and testing process, as well as concerns about our ability to continue as a going concern. In addition, there is the possibility that finalizing the supply agreements for the parts and components of our vehicles will cause significant disruption to our operations, or such supply agreements could be at costs that make it difficult for us to operate profitably or delay our production schedule.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231F20"/>
        </w:rPr>
        <w:t>If we do not enter into long-term supply agreements with guaranteed pricing and availability for our parts or components, we may be exposed to fluctuations in prices, quality and timing of components, materials and equipment. Our current agreement for the purchase of battery cells contains, and future agreements are likely to contain, pricing provisions that are subject to adjustment based on changes in market prices of key commodities and require us to make minimum purchases irrespective of our production plans.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operating results.</w:t>
      </w:r>
    </w:p>
    <w:p>
      <w:pPr>
        <w:spacing w:after="0" w:line="163"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231F20"/>
        </w:rPr>
        <w:t>We have experienced and may in the future experience delays in realizing our projected timelines and cost and volume targets for the production, launch and ramp up of the Endurance and the retooling of the Lordstown facility, which could harm our business, prospects, financial condition and operating results.</w:t>
      </w:r>
    </w:p>
    <w:p>
      <w:pPr>
        <w:spacing w:after="0" w:line="18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Our future business depends in large part on our ability to execute on our plans to finance, develop, manufacture, market and sell or lease the Endurance. Any delay in the financing, design, testing, manufacture and launch of the Endurance, in completing the retooling of the Lordstown facility or consummating the Foxconn Transactions and other related agreements being contemplated, including a joint product development agreement, could materially damage our brand, business, prospects, financial condition and operating results. Vehicle manufacturers often experience delays in the design, testing, manufacture and commercial release of new products and further delays in the production of the Endurance are possible.</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To the extent we experience delays in completing the retooling of the Lordstown facility, consummating the Foxconn Transactions and other related agreements being contemplated, including a joint product development agreement, launching the Endurance or obtaining the funding needed to reach scaled production, our growth prospects could be materially and adversely affected. In addition, production delays would allow competitors to enter the market and capture market share before us,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further develop our own components, whether due to COVID-19, disruptions to or instability of the global economy or other reasons, we could experience delays in meeting our projected timelines.</w:t>
      </w:r>
    </w:p>
    <w:p>
      <w:pPr>
        <w:spacing w:after="0" w:line="20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Further, we have no experience to date in high-volume manufacturing, or in outsourcing the high-volume manufacturing, of our vehicles. Even if we are successful in developing our high-volume manufacturing capability and processes, in conjunction with Foxconn, and in reliably sourcing our component supply, we cannot assure that we will be able to do so in a manner that avoids significant delays and cost overruns, including as a result of factors beyond our control such as problems with suppliers, delays in testing or receipt of required regulatory approvals to sell the Endurance, or failure to satisfy customer requirements.</w:t>
      </w:r>
    </w:p>
    <w:p>
      <w:pPr>
        <w:spacing w:after="0" w:line="183"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While we intend to develop additional vehicles, including through our potential collaboration with Foxconn, we will initially depend on revenue generated from a single vehicle model and in the foreseeable future will be significantly dependent on a single or limited number of models, including the Endurance, for which the bill of materials cost is currently anticipated to be significantly in excess of our anticipated selling price at launch. Historically, automobile customers have come to expect a variety of vehicle models offered in a manufacturer’s fleet and new and improved vehicle models to be introduced frequently. Given that for at least the next several years our business will likely depend on a single or limited number of models, to the extent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particular model is not well-received by the market, our sales volume, business, prospects, financial condition and operating results could be materially and adversely affected.</w:t>
      </w:r>
    </w:p>
    <w:p>
      <w:pPr>
        <w:spacing w:after="0" w:line="175" w:lineRule="exact"/>
        <w:rPr>
          <w:sz w:val="20"/>
          <w:szCs w:val="20"/>
          <w:color w:val="auto"/>
        </w:rPr>
      </w:pPr>
    </w:p>
    <w:p>
      <w:pPr>
        <w:ind w:left="60" w:right="339"/>
        <w:spacing w:after="0" w:line="287" w:lineRule="auto"/>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electric vehicles could be harmed.</w:t>
      </w:r>
    </w:p>
    <w:p>
      <w:pPr>
        <w:spacing w:after="0" w:line="107"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231F20"/>
        </w:rPr>
        <w:t>As a new entrant to the industry attempting to build brand recognition and establish relationships with commercial fleets and fleet managers, it is very important that our vehicles and our service and support meet the expectations of our customers when we commence production and sales. If our vehicles were to contain defects in design and/or manufacture, including if they are manufactured by Foxconn, that cause them not to perform as expected or that require repair, our ability to develop, market and sell or lease our vehicles could be harmed. We currently have a limited frame of reference by which to evaluate the long-term quality, reliability and performance characteristics of our trucks, battery packs and other products. There can be no assurance that we will be able to detect and repair any defects in our products before commencing the sale of our vehicles.</w:t>
      </w:r>
    </w:p>
    <w:p>
      <w:pPr>
        <w:spacing w:after="0" w:line="19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In addition, the performance specifications of the Endurance may vary from our current estimates and could change over time and from vehicle to vehicle based on a number of factors, including the manner in which the vehicle is used or maintained, driving conditions and weather and other environmental conditions where the vehicle is used. While we are performing extensive internal testing on the Endurance, we currently have a limited frame of reference by which to evaluate detailed long-term quality, reliability, durability and performance characteristics of our battery packs, powertrains and vehicles. There can be no assurance that the Endurance will perform in accordance with our published specifications, consistently or at all.</w:t>
      </w:r>
    </w:p>
    <w:p>
      <w:pPr>
        <w:spacing w:after="0" w:line="203"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231F20"/>
        </w:rPr>
        <w:t>Further, the operation of our vehicles will be highly dependent on software that will require modification and updates over time. Software products are inherently complex and often contain defects and errors when first introduced. Any product defects or any other failure of our vehicles to perform as expected, including during testing or with respect to our initial deliveries to customers, could harm our reputation and result in adverse publicity, lost revenue, delivery delays, product recalls, product liability or false advertising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8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7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 xml:space="preserve">Any failure to manage our growth effectively could materially and adversely affect our business, prospects, operating results or financial condition. We plan to commence limited production of the Endurance at the Lordstown facility in the third quarter of 2022 and have the objective to grow thereafter through the consummation of the Foxconn Transactions and other contemplated agreements, subject to the receipt of additional capital. We also intend to leverage our technologies and relationship with Foxconn to develop additional all-electric vehicles geared to the commercial market that will require us to commit additional financial, engineering and management resources. Our future operating results depend to a large extent on our ability to manage our expansion and growth successfully. However, we have no experience to date in high-volume manufacturing, or </w:t>
      </w:r>
      <w:r>
        <w:rPr>
          <w:rFonts w:ascii="Arial" w:cs="Arial" w:eastAsia="Arial" w:hAnsi="Arial"/>
          <w:sz w:val="18"/>
          <w:szCs w:val="18"/>
          <w:color w:val="231F20"/>
        </w:rPr>
        <w:t>in outsourcing high-volume manufacturing,</w:t>
      </w:r>
      <w:r>
        <w:rPr>
          <w:rFonts w:ascii="Arial" w:cs="Arial" w:eastAsia="Arial" w:hAnsi="Arial"/>
          <w:sz w:val="18"/>
          <w:szCs w:val="18"/>
          <w:color w:val="auto"/>
        </w:rPr>
        <w:t xml:space="preserve"> of our vehicles. We cannot assure that we will be able to fund and develop efficient, automated, low-cost manufacturing capabilities and processes, and reliable sources of component supply, including in conjunction with Foxconn if the APA is consummated,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It is difficult to predict our future revenues and appropriately budget for our expenses, and we may have limited insight into trends that may emerge and affect our business. Since inception, we have reevaluated our production plan and readiness multiple times, which has contributed to an increase in ramp up costs and need for additional funding. We have been and will continue to be required to provide forecasts of our demand to our suppliers several months prior to the scheduled delivery of products to our prospective customers. Currently, there is no historical basis for making judgments on the demand for our vehicles or our ability to develop, manufacture and deliver vehicles, or on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including if by Foxconn and result in delays in shipments and revenues. In addition, lead times for materials and components that our suppliers order vary significantly and depend on factors such as the specific supplier, contract terms,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9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Our future growth is dependent upon the willingness of operators of commercial vehicle fleets to adopt electric vehicles and upon our ability to produce, sell and provide service for vehicles that meet their needs. If the market for commercial electric vehicles does not develop as we expect, or if it develops slower than we expect, our business, prospects, financial condition and operating results will be adversely affected.</w:t>
      </w:r>
    </w:p>
    <w:p>
      <w:pPr>
        <w:spacing w:after="0" w:line="19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growth is dependent upon the adoption of electric vehicles by operators of commercial vehicle fleets and on our ability to produce, sell and provide service for vehicles that meet their needs. The entry of commercial electric pickup trucks and other electric vehicles into the commercial vehicle market is a relatively new development, particularly in the United States, and is characterized by rapidly changing technologies and evolving government regulation, industry standards and customer views of the merits of using electric vehicles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electric vehicles (or commercial electric vehicles generally) or vehicles powered by internal combustion engines. We believe these factors include:</w:t>
      </w:r>
    </w:p>
    <w:p>
      <w:pPr>
        <w:spacing w:after="0" w:line="206" w:lineRule="exact"/>
        <w:rPr>
          <w:sz w:val="20"/>
          <w:szCs w:val="20"/>
          <w:color w:val="auto"/>
        </w:rPr>
      </w:pPr>
    </w:p>
    <w:p>
      <w:pPr>
        <w:ind w:left="720" w:right="17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difference between the initial purchase prices of commercial electric vehicles and comparable vehicles powered by internal combustion engines, both including and excluding the effect of government and other subsidies and incentives designed to promote the purchase of electric vehicles;</w:t>
      </w:r>
    </w:p>
    <w:p>
      <w:pPr>
        <w:spacing w:after="0" w:line="2"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cost of ownership of the vehicle over its expected life, which includes the initial purchase price and ongoing operating and maintenance costs;</w:t>
      </w:r>
    </w:p>
    <w:p>
      <w:pPr>
        <w:spacing w:after="0" w:line="1" w:lineRule="exact"/>
        <w:rPr>
          <w:rFonts w:ascii="Arial" w:cs="Arial" w:eastAsia="Arial" w:hAnsi="Arial"/>
          <w:sz w:val="18"/>
          <w:szCs w:val="18"/>
          <w:color w:val="auto"/>
        </w:rPr>
      </w:pPr>
    </w:p>
    <w:p>
      <w:pPr>
        <w:ind w:left="720" w:right="41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terms of financing options for purchases of vehicles and, for commercial electric vehicles, financing options for battery systems;</w:t>
      </w:r>
    </w:p>
    <w:p>
      <w:pPr>
        <w:spacing w:after="0" w:line="1"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and future regulations requiring increased use of nonpolluting vehicles;</w:t>
      </w:r>
    </w:p>
    <w:p>
      <w:pPr>
        <w:spacing w:after="0" w:line="1" w:lineRule="exact"/>
        <w:rPr>
          <w:rFonts w:ascii="Arial" w:cs="Arial" w:eastAsia="Arial" w:hAnsi="Arial"/>
          <w:sz w:val="18"/>
          <w:szCs w:val="18"/>
          <w:color w:val="auto"/>
        </w:rPr>
      </w:pPr>
    </w:p>
    <w:p>
      <w:pPr>
        <w:ind w:left="720" w:right="59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1" w:lineRule="exact"/>
        <w:rPr>
          <w:rFonts w:ascii="Arial" w:cs="Arial" w:eastAsia="Arial" w:hAnsi="Arial"/>
          <w:sz w:val="18"/>
          <w:szCs w:val="18"/>
          <w:color w:val="auto"/>
        </w:rPr>
      </w:pPr>
    </w:p>
    <w:p>
      <w:pPr>
        <w:ind w:left="720" w:right="63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fuel prices, including volatility in the cost of fuel or a prolonged period of low diesel, gasoline and natural gas costs that could decrease incentives to transition to electric vehicles;</w:t>
      </w:r>
    </w:p>
    <w:p>
      <w:pPr>
        <w:spacing w:after="0" w:line="1" w:lineRule="exact"/>
        <w:rPr>
          <w:rFonts w:ascii="Arial" w:cs="Arial" w:eastAsia="Arial" w:hAnsi="Arial"/>
          <w:sz w:val="18"/>
          <w:szCs w:val="18"/>
          <w:color w:val="auto"/>
        </w:rPr>
      </w:pPr>
    </w:p>
    <w:p>
      <w:pPr>
        <w:ind w:left="720" w:right="47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availability of other alternatives to diesel or gasoline-fueled vehicles, such as vehicles powered by natural gas;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sustainability initiatives;</w:t>
      </w:r>
    </w:p>
    <w:p>
      <w:pPr>
        <w:spacing w:after="0" w:line="9" w:lineRule="exact"/>
        <w:rPr>
          <w:rFonts w:ascii="Arial" w:cs="Arial" w:eastAsia="Arial" w:hAnsi="Arial"/>
          <w:sz w:val="18"/>
          <w:szCs w:val="18"/>
          <w:color w:val="auto"/>
        </w:rPr>
      </w:pPr>
    </w:p>
    <w:p>
      <w:pPr>
        <w:ind w:left="720" w:right="53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electric vehicle quality, performance and safety (particularly with respect to lithium-ion battery packs);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and availability of service for the vehicle, including the availability of replacement parts;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limited range over which commercial electric vehicles may be driven on a single battery charge;</w:t>
      </w:r>
    </w:p>
    <w:p>
      <w:pPr>
        <w:spacing w:after="0" w:line="9" w:lineRule="exact"/>
        <w:rPr>
          <w:rFonts w:ascii="Arial" w:cs="Arial" w:eastAsia="Arial" w:hAnsi="Arial"/>
          <w:sz w:val="18"/>
          <w:szCs w:val="18"/>
          <w:color w:val="auto"/>
        </w:rPr>
      </w:pPr>
    </w:p>
    <w:p>
      <w:pPr>
        <w:ind w:left="720" w:right="49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charging stations and related infrastructure costs, and standardization of electric vehicle charging systems;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electric grid capacity and reliability;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58"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If, in weighing these factors, operators of commercial vehicle fleets determine that there is not a compelling business justification for purchasing commercial electric vehicles, particularly those that we will produce and sell, then the market for commercial electric vehicles may not develop as we expect or may develop more slowly than we expect, which would adversely affect our business, prospects, financial condition and operating results.</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any reduction, elimination or selective application of tax and other governmental incentives and subsidies because of policy changes, the reduced need for such subsidies and incentives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operating results. Further, we cannot assure that the current governmental incentives and subsidies available for purchasers of electric vehicles will remain available</w:t>
      </w:r>
      <w:r>
        <w:rPr>
          <w:rFonts w:ascii="Arial" w:cs="Arial" w:eastAsia="Arial" w:hAnsi="Arial"/>
          <w:sz w:val="18"/>
          <w:szCs w:val="18"/>
          <w:color w:val="231F20"/>
        </w:rPr>
        <w:t>.</w:t>
      </w:r>
    </w:p>
    <w:p>
      <w:pPr>
        <w:spacing w:after="0" w:line="18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If we are unable to address the service requirements of our future customers or if there is inadequate access to charging stations, our business will be materially and adversely affected.</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Demand for the Endurance and other vehicles we may produce will depend in part on the availability of service providers and charging infrastructure. Servicing electric vehicles is different than servicing internal combustion engine or hybrid vehicles and requires specialized skills, including high voltage training and servicing techniques. As the Endurance is not in production yet, we do not have experience servicing the Endurance. The Endurance also will require the use of charging stations to recharge its batteries. While the prevalence of charging stations has been increasing, charging station locations are significantly less widespread than gas stations. We expect to partner with third-party service providers to maintain and repair the Endurance. We may partner with third-party electric vehicle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Some potential customers may choose not to purchase the Endurance because of the lack of a more widespread service network or charging infrastructure at the time of sale. If we are unable to satisfactorily service our future customers or provide seamless access to charging infrastructure, our ability to generate customer loyalty, grow our business and sell Endurance and other vehicles we may produce could be impaired. In addition, our potential customers may be unwilling to purchase the Endurance due to actual or perceived concerns over our ability to remain a going concern and provide long term aftermarket service and support as is typical of the automotive industry.</w:t>
      </w:r>
    </w:p>
    <w:p>
      <w:pPr>
        <w:spacing w:after="0" w:line="17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231F20"/>
        </w:rPr>
        <w:t>We depend upon key personnel and will need to hire and train additional personnel. If we lose key management or significant personnel, cannot recruit or effectively integrate qualified employees, directors, officers, or other personnel or experience increases in our compensation costs, our business may materially suffer.</w:t>
      </w:r>
    </w:p>
    <w:p>
      <w:pPr>
        <w:spacing w:after="0" w:line="182" w:lineRule="exact"/>
        <w:rPr>
          <w:sz w:val="20"/>
          <w:szCs w:val="20"/>
          <w:color w:val="auto"/>
        </w:rPr>
      </w:pPr>
    </w:p>
    <w:p>
      <w:pPr>
        <w:ind w:left="60" w:right="319"/>
        <w:spacing w:after="0" w:line="302" w:lineRule="auto"/>
        <w:rPr>
          <w:sz w:val="20"/>
          <w:szCs w:val="20"/>
          <w:color w:val="auto"/>
        </w:rPr>
      </w:pPr>
      <w:r>
        <w:rPr>
          <w:rFonts w:ascii="Arial" w:cs="Arial" w:eastAsia="Arial" w:hAnsi="Arial"/>
          <w:sz w:val="15"/>
          <w:szCs w:val="15"/>
          <w:color w:val="231F20"/>
        </w:rPr>
        <w:t>We have recently experienced changes in our senior management. While we expect an orderly transition process as new management is integrated into various roles, we face a variety of risks and uncertainties relating to management transition, including diversion of management attention from business concerns, failure to retain other key personnel or loss of institutional knowledge. These risks and uncertainties could result in operational and administrative inefficiencies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231F20"/>
        </w:rPr>
        <w:t>additional added costs, which could adversely impact our results of operations, stock price and research and development of our products.</w:t>
      </w:r>
    </w:p>
    <w:p>
      <w:pPr>
        <w:spacing w:after="0" w:line="183" w:lineRule="exact"/>
        <w:rPr>
          <w:sz w:val="20"/>
          <w:szCs w:val="20"/>
          <w:color w:val="auto"/>
        </w:rPr>
      </w:pPr>
    </w:p>
    <w:p>
      <w:pPr>
        <w:ind w:left="60" w:right="59"/>
        <w:spacing w:after="0" w:line="285" w:lineRule="auto"/>
        <w:rPr>
          <w:sz w:val="20"/>
          <w:szCs w:val="20"/>
          <w:color w:val="auto"/>
        </w:rPr>
      </w:pPr>
      <w:r>
        <w:rPr>
          <w:rFonts w:ascii="Arial" w:cs="Arial" w:eastAsia="Arial" w:hAnsi="Arial"/>
          <w:sz w:val="15"/>
          <w:szCs w:val="15"/>
          <w:color w:val="231F20"/>
        </w:rPr>
        <w:t>Our success depends on our ability to recruit top talent, the continuing services of our management team and other key employees. We believe the depth and quality of the experience of our management team in the automotive and electric vehicle markets is a key to our ability to be successful. The loss of any of these individuals could have a material and adverse effect on our business operations. We do not carry “key-man” life insurance on the lives of any of our executives, employees or advisors. As with any company with limited resources, there can be no guarantee that we will be able to attract and retain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We also continue to seek personnel with appropriate accounting expertise to support the design and operation of our internal controls over financial reporting. We experience intense competition for qualified personnel and may be unable to attract and retain the personnel necessary for the development of our business. Because of this competition, our compensation costs may increase significantly. The challenge will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43"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231F20"/>
        </w:rPr>
        <w:t>We face intense competition and associated risks, including that we may not be among the first to market with an electric pickup truck. Many of our competitors have significantly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significant market share.</w:t>
      </w:r>
    </w:p>
    <w:p>
      <w:pPr>
        <w:spacing w:after="0" w:line="18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We face intense competition in our industry, which we may be unable to manage, including the risk that we may not be among the first to market with an electric pickup truck. Established OEMs and new entrants to the industry have announced their intent and timelines to compete in the electric pickup truck market. In addition, established OEMs currently offer alternative fuel and hybrid pickup trucks to the commercial fleet market, which includes government fleets. If fleet operators begin transitioning to electric vehicles on a mass scale, which will be necessary for us to be successful, we expect that more competitors will enter the market and competition will become intense. Certain potential competitors, for example, have more significant financial resources, established market positions, long-standing relationships 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of completing the development of the Endurance, completing the retooling of the Lordstown facility and commencing commercial production and sales. If we are unable to do this successfully our competitors may enter the market and capture market share, and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91"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b w:val="1"/>
          <w:bCs w:val="1"/>
          <w:i w:val="1"/>
          <w:iCs w:val="1"/>
          <w:color w:val="231F20"/>
        </w:rPr>
        <w:t>We may not succeed in establishing, maintaining and strengthening our brand, which would materially and adversely affect customer acceptance of our vehicles and components and our business, revenues and prospects.</w:t>
      </w:r>
    </w:p>
    <w:p>
      <w:pPr>
        <w:spacing w:after="0" w:line="11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The automobile industry is intensely competitive, and we may not be successful in building, maintaining and strengthening our brand. Our current and potential competitors, particularly automobile manufacturers headquartered in the United States, Japan, the European Union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479"/>
        <w:spacing w:after="0"/>
        <w:rPr>
          <w:sz w:val="20"/>
          <w:szCs w:val="20"/>
          <w:color w:val="auto"/>
        </w:rPr>
      </w:pPr>
      <w:r>
        <w:rPr>
          <w:rFonts w:ascii="Arial" w:cs="Arial" w:eastAsia="Arial" w:hAnsi="Arial"/>
          <w:sz w:val="18"/>
          <w:szCs w:val="18"/>
          <w:color w:val="231F20"/>
        </w:rPr>
        <w:t>China, have greater name recognition, broader customer relationships and substantially greater marketing resources than we do. If we do not develop and maintain a strong brand, our business, prospects, financial condition and operating results will be materially and adversely impacted.</w:t>
      </w:r>
    </w:p>
    <w:p>
      <w:pPr>
        <w:spacing w:after="0" w:line="18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231F20"/>
        </w:rPr>
        <w:t>Our electric vehicles will compete for market share with vehicles powered by other vehicle technologies that may prove to be more attractive than our vehicle technologies.</w:t>
      </w:r>
    </w:p>
    <w:p>
      <w:pPr>
        <w:spacing w:after="0" w:line="108" w:lineRule="exact"/>
        <w:rPr>
          <w:sz w:val="20"/>
          <w:szCs w:val="20"/>
          <w:color w:val="auto"/>
        </w:rPr>
      </w:pPr>
    </w:p>
    <w:p>
      <w:pPr>
        <w:jc w:val="both"/>
        <w:ind w:left="60" w:right="339"/>
        <w:spacing w:after="0" w:line="237" w:lineRule="auto"/>
        <w:rPr>
          <w:sz w:val="20"/>
          <w:szCs w:val="20"/>
          <w:color w:val="auto"/>
        </w:rPr>
      </w:pPr>
      <w:r>
        <w:rPr>
          <w:rFonts w:ascii="Arial" w:cs="Arial" w:eastAsia="Arial" w:hAnsi="Arial"/>
          <w:sz w:val="18"/>
          <w:szCs w:val="18"/>
          <w:color w:val="231F20"/>
        </w:rPr>
        <w:t>Our target market currently is serviced by manufacturers with existing customers and suppliers using proven and widely accepted fuel technologies. Additionally, our competitors are working on developing technologies that may be introduced in our target market. 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18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We may be unable to keep up with changes in electric vehicle technology as new entrants and existing, larger manufacturers enter the electric vehicle space.</w:t>
      </w:r>
    </w:p>
    <w:p>
      <w:pPr>
        <w:spacing w:after="0" w:line="17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The Endurance is being designed for use with, and is dependent upon, existing electric vehicle technology. As new companies and larger, existing vehicle manufacturers enter the electric vehicle space, we may lose any technological advantage we may have had in the marketplace and suffer a decline in our position in the market. Further, certain technology used in the Endurance, such as in our infotainment system, relies on open source code and is not proprietary to us, and our competitors may also utilize such technology to develop their vehicles.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As a result, our potential inability to adapt to and develop the necessary technology may harm our competitive position.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will not have a third-party retail product distribution network.</w:t>
      </w:r>
    </w:p>
    <w:p>
      <w:pPr>
        <w:spacing w:after="0" w:line="16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Third-party dealer networks are the traditional method of vehicle sales distribution. Because we primarily plan to sell directly to commercial fleets and fleet managers, we will not have a traditional dealer product distribution network. Our building an in-house sales and marketing function would be expensive and time-consuming. If the lack of a traditional dealer product distribution network results in lost opportunities to generate sales, it could limit our ability to grow. If our use of an in-house sales and marketing team is not effective, our results of operations and financial conditions could be adversely affected.</w:t>
      </w:r>
    </w:p>
    <w:p>
      <w:pPr>
        <w:spacing w:after="0" w:line="183" w:lineRule="exact"/>
        <w:rPr>
          <w:sz w:val="20"/>
          <w:szCs w:val="20"/>
          <w:color w:val="auto"/>
        </w:rPr>
      </w:pPr>
    </w:p>
    <w:p>
      <w:pPr>
        <w:jc w:val="both"/>
        <w:ind w:left="60" w:right="599"/>
        <w:spacing w:after="0" w:line="268" w:lineRule="auto"/>
        <w:rPr>
          <w:sz w:val="20"/>
          <w:szCs w:val="20"/>
          <w:color w:val="auto"/>
        </w:rPr>
      </w:pPr>
      <w:r>
        <w:rPr>
          <w:rFonts w:ascii="Arial" w:cs="Arial" w:eastAsia="Arial" w:hAnsi="Arial"/>
          <w:sz w:val="18"/>
          <w:szCs w:val="18"/>
          <w:b w:val="1"/>
          <w:bCs w:val="1"/>
          <w:i w:val="1"/>
          <w:iCs w:val="1"/>
          <w:color w:val="231F20"/>
        </w:rPr>
        <w:t>If we are unable to establish and maintain confidence in our long-term business prospects among commercial fleet operators, investors and others within our industry, then our financial condition, operating results and business prospects may suffer materially.</w:t>
      </w:r>
    </w:p>
    <w:p>
      <w:pPr>
        <w:spacing w:after="0" w:line="193"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color w:val="231F20"/>
        </w:rPr>
        <w:t>Commercial fleet operators may be less likely to purchase our products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 or that we will continue as a going concern. Accordingly, to build, maintain and grow our business, we must maintain confidence among commercial fleet operators, suppliers, investors and other parties with respect to our liquidity and long-term business prospects.</w:t>
      </w:r>
    </w:p>
    <w:p>
      <w:pPr>
        <w:spacing w:after="0" w:line="208"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231F20"/>
        </w:rPr>
        <w:t>Maintaining such confidence may be particularly complicated by certain factors, such as our funding needs, the status of our relationship with Foxconn, limited operating history, significant outstanding litigation and SEC investigation matters, others’ unfamiliarity with our products, competition and uncertainty regarding the future of electric vehicles. Many of these factors are largely outside our control, and any negative perceptions about our long-term business prospects, even if exaggerated or unfounded, would likely harm our business and make it more difficult to raise additional capital.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419"/>
        <w:spacing w:after="0" w:line="268" w:lineRule="auto"/>
        <w:rPr>
          <w:sz w:val="20"/>
          <w:szCs w:val="20"/>
          <w:color w:val="auto"/>
        </w:rPr>
      </w:pPr>
      <w:r>
        <w:rPr>
          <w:rFonts w:ascii="Arial" w:cs="Arial" w:eastAsia="Arial" w:hAnsi="Arial"/>
          <w:sz w:val="18"/>
          <w:szCs w:val="18"/>
          <w:b w:val="1"/>
          <w:bCs w:val="1"/>
          <w:i w:val="1"/>
          <w:iCs w:val="1"/>
          <w:color w:val="231F20"/>
        </w:rPr>
        <w:t xml:space="preserve">There are complex software and technology systems that need to be developed in coordination with vendors and suppliers in order to reach production for our electric vehicles, and </w:t>
      </w:r>
      <w:r>
        <w:rPr>
          <w:rFonts w:ascii="Arial" w:cs="Arial" w:eastAsia="Arial" w:hAnsi="Arial"/>
          <w:sz w:val="18"/>
          <w:szCs w:val="18"/>
          <w:b w:val="1"/>
          <w:bCs w:val="1"/>
          <w:i w:val="1"/>
          <w:iCs w:val="1"/>
          <w:color w:val="000000"/>
        </w:rPr>
        <w:t>there can be no</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assurance such systems will be successfully developed.</w:t>
      </w:r>
    </w:p>
    <w:p>
      <w:pPr>
        <w:spacing w:after="0" w:line="139" w:lineRule="exact"/>
        <w:rPr>
          <w:sz w:val="20"/>
          <w:szCs w:val="20"/>
          <w:color w:val="auto"/>
        </w:rPr>
      </w:pPr>
    </w:p>
    <w:p>
      <w:pPr>
        <w:jc w:val="both"/>
        <w:ind w:left="60" w:right="99"/>
        <w:spacing w:after="0" w:line="265" w:lineRule="auto"/>
        <w:rPr>
          <w:sz w:val="20"/>
          <w:szCs w:val="20"/>
          <w:color w:val="auto"/>
        </w:rPr>
      </w:pPr>
      <w:r>
        <w:rPr>
          <w:rFonts w:ascii="Arial" w:cs="Arial" w:eastAsia="Arial" w:hAnsi="Arial"/>
          <w:sz w:val="17"/>
          <w:szCs w:val="17"/>
          <w:color w:val="231F20"/>
        </w:rPr>
        <w:t>Our vehicles will use a substantial amount of third-party and in-house software codes and complex hardware to operate. The development of such advanced technologies is inherently complex, and we will need to coordinate with our vendors and suppliers in order to reach production for our electric vehicles. Defects and errors may be revealed over time and our control over the performance of third-party services and systems may be limited.</w:t>
      </w:r>
    </w:p>
    <w:p>
      <w:pPr>
        <w:spacing w:after="0" w:line="1"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color w:val="231F20"/>
        </w:rPr>
        <w:t>Thus, our potential inability to develop the necessary software and technology systems may harm our competitive position.</w:t>
      </w:r>
    </w:p>
    <w:p>
      <w:pPr>
        <w:spacing w:after="0" w:line="19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are relying on third-party suppliers to develop a number of emerging technologies for use in our products, including lithium-ion battery technology. These technologies are not today, and may not ever be, commercially viable. There can be no assurances that our suppliers will be able to meet the technological requirements, production timing and volume requirements to support our business plan.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adversely affect our business, prospects, and results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success may be dependent on our development and protection of intellectual property rights.</w:t>
      </w:r>
    </w:p>
    <w:p>
      <w:pPr>
        <w:spacing w:after="0" w:line="247"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231F20"/>
        </w:rPr>
        <w:t>We rely on confidentiality and trade secret protections to protect our proprietary technology. All new developments by us will be owned by us. Our success will, in part, depend on our ability to obtain patents and trademarks and protect our trade secrets and proprietary technology. We are currently maintaining our engineering under confidentiality agreements and other agreements to preserve our trade secrets and other proprietary technology. We have filed numerous trademark and patent applications with the United States Patent and Trademark Office (“USPTO”) but have not received any federal registrations of any applications as of the date of filing of this report. Our trademark applications were filed on an “intend-to-use" basis, and as such will not be registered until we begin the commercial sale of our vehicles. Such a filing has a limited duration and requires a request of the USPTO to grant an extension. No assurances can be provided that such extension would be granted, and our ability to use the marks may be impeded. Although we have entered into confidentiality agreements with our employees, consultants and contractors, our agreements may not adequately protect our intellectual property, particularly with respect to conflicts of ownership relating to work product generated by our employees, consultants and contractors, and we cannot be certain that others will not gain access to our trade secrets and other proprietary technology. See Part I – Item 3. Legal Proceedings. Others may independently develop substantially equivalent proprietary information and techniques or otherwise gain access to our trade secrets.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Relating to Regulation and Claims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b w:val="1"/>
          <w:bCs w:val="1"/>
          <w:i w:val="1"/>
          <w:iCs w:val="1"/>
          <w:color w:val="auto"/>
        </w:rPr>
        <w:t>We face risks and uncertainties related to litigation, regulatory actions and government investigations and inquiries.</w:t>
      </w:r>
    </w:p>
    <w:p>
      <w:pPr>
        <w:spacing w:after="0" w:line="162" w:lineRule="exact"/>
        <w:rPr>
          <w:sz w:val="20"/>
          <w:szCs w:val="20"/>
          <w:color w:val="auto"/>
        </w:rPr>
      </w:pPr>
    </w:p>
    <w:p>
      <w:pPr>
        <w:ind w:left="60" w:right="219"/>
        <w:spacing w:after="0"/>
        <w:rPr>
          <w:sz w:val="20"/>
          <w:szCs w:val="20"/>
          <w:color w:val="auto"/>
        </w:rPr>
      </w:pPr>
      <w:r>
        <w:rPr>
          <w:rFonts w:ascii="Arial" w:cs="Arial" w:eastAsia="Arial" w:hAnsi="Arial"/>
          <w:sz w:val="18"/>
          <w:szCs w:val="18"/>
          <w:color w:val="231F20"/>
        </w:rPr>
        <w:t>We are currently and may in the future be subject to, or become a party to, litigation, regulatory actions, and government investigations and inquiries. See Part I – item 3 - Legal Proceedings below and in our subsequent filings with the SEC for additional information.</w:t>
      </w:r>
    </w:p>
    <w:p>
      <w:pPr>
        <w:spacing w:after="0" w:line="189"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231F20"/>
        </w:rPr>
        <w:t>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lawsuits, claims, or investigations have been and may in the future be time-consuming, costly, divert management resources, increase our insurance costs, cause reputational harm or otherwise have a material adverse effect on our business or result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231F20"/>
        </w:rPr>
        <w:t>The ongoing expense of lawsuits, investigations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At this time, the Company cannot predict the results of many of current proceedings, and future resolution of these matters could result in changes in management's estimates of losses, which could be material to the Company’s consolidated financial statements. We have not established provisions for most of the current proceedings as of December 31, 2021. Significant legal fees and costs of litigation or an adverse judgment or settlement that are not insured or is in excess of insurance coverage could have a material adverse effect on our financial position and results of operations. Furthermore, the potential material adverse effect of the pending litigation, SEC investigation and related ongoing significant legal costs would likely impair our ability to raise the additional capital we need to launch the Endurance in the third quarter of 2022, and therefore increases the risk that our operations could be severely curtailed or cease entirely.</w:t>
      </w:r>
    </w:p>
    <w:p>
      <w:pPr>
        <w:spacing w:after="0" w:line="178"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b w:val="1"/>
          <w:bCs w:val="1"/>
          <w:i w:val="1"/>
          <w:iCs w:val="1"/>
          <w:color w:val="231F20"/>
        </w:rPr>
        <w:t>Changes in laws or regulations, or a failure to comply with any laws and regulations, or any litigation that we may be subject to or involved in may adversely affect our business, investments and results of operations.</w:t>
      </w:r>
    </w:p>
    <w:p>
      <w:pPr>
        <w:spacing w:after="0" w:line="123"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231F20"/>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Those laws, regulations and rules and their interpretation and application may also change from time to time and those changes could have a material adverse effect on our business, investments and results of operations. For example, it is difficult to predict what impact, if any, changes in federal laws and policies, including those relating to tax, environmental, labor and employment, will have on our business and industry, the economy as a whole, consumer confidence and discretionary spending. A failure to comply with applicable laws, regulations or rules, as interpreted and applied, could have a material adverse effect on our business and results of operations.</w:t>
      </w:r>
    </w:p>
    <w:p>
      <w:pPr>
        <w:spacing w:after="0" w:line="20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Significant legal fees and costs in litigation or an adverse judgment or settlement that is not insured or is in excess of insurance coverage could have a material adverse effect on our financial position and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Product liability or other claims could have a material adverse effect on our business.</w:t>
      </w:r>
    </w:p>
    <w:p>
      <w:pPr>
        <w:spacing w:after="0" w:line="16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The risk of product liability claims, product recalls and associated adverse publicity is inherent in the manufacturing, marketing and sale of all vehicles, including electric vehicles. Although we have liability insurance policies in place, that insurance may be inadequate to cover all potential product claims. Any product recall or lawsuit seeking significant monetary damages either in excess of our coverage, or outside of our coverage, may have a material adverse effect on our business and financial condition. We may not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231F20"/>
        </w:rPr>
        <w:t>able to secure additional liability insurance coverage on acceptable terms or at reasonable costs when 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If we complete the outsourcing of our manufacturing of the Endurance to Foxconn, this will limit our control over the production of our vehicles and our ability to mitigate the risk of product issues that may arise in the manufacturing process. We cannot provide assurance that such claims and/or recalls will not be made in the future.</w:t>
      </w:r>
    </w:p>
    <w:p>
      <w:pPr>
        <w:spacing w:after="0" w:line="185" w:lineRule="exact"/>
        <w:rPr>
          <w:sz w:val="20"/>
          <w:szCs w:val="20"/>
          <w:color w:val="auto"/>
        </w:rPr>
      </w:pPr>
    </w:p>
    <w:p>
      <w:pPr>
        <w:ind w:left="60" w:right="299"/>
        <w:spacing w:after="0" w:line="287" w:lineRule="auto"/>
        <w:rPr>
          <w:sz w:val="20"/>
          <w:szCs w:val="20"/>
          <w:color w:val="auto"/>
        </w:rPr>
      </w:pPr>
      <w:r>
        <w:rPr>
          <w:rFonts w:ascii="Arial" w:cs="Arial" w:eastAsia="Arial" w:hAnsi="Arial"/>
          <w:sz w:val="18"/>
          <w:szCs w:val="18"/>
          <w:b w:val="1"/>
          <w:bCs w:val="1"/>
          <w:i w:val="1"/>
          <w:iCs w:val="1"/>
          <w:color w:val="231F20"/>
        </w:rPr>
        <w:t>The acquisition of the Lordstown facility required us to accept all environmental responsibility for the real property.</w:t>
      </w:r>
    </w:p>
    <w:p>
      <w:pPr>
        <w:spacing w:after="0" w:line="107"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231F20"/>
        </w:rPr>
        <w:t>The Asset Transfer Agreement between us and GM, pursuant to which we acquired the Lordstown facility, required us to accept the condition of the real property in “as is — where is” condition, including accepting all environmental conditions. The Lordstown facility and all of its facilities and real property present environmental risk, both known and unknown. Prior to entering into the Asset Transfer Agreement, GM completed an investigation and remediation project pursuant to an AOC under the U.S. EPA’s RCRA Corrective Action Program. As part of the U.S. EPA’s approval of GM’s investigation and remediation project,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In addition, to further manage potential environmental risk, we have secured environmental liability insurance coverage as required under the Asset Transfer Agreement. Finally, to mitigate the risk associated with the Ohio EPA’s authority to require future remediation activities at the Lordstown facility, related to historic environmental conditions, we have entered into an Administrative Order with the Ohio EPA wherein the Ohio EPA agreed to not pursue enforcement actions against us for historic environmental conditions at the Lordstown site provided that we comply with the terms of the environmental covenant. Notwithstanding the efforts that we have taken to mitigate environmental risk, there is no assurance that claims, lawsuits, fines or penalties will not arise. Our assumption of environmental liabilities at the Lordstown facility could expose us to potential costs and liabilities that could exceed or fall outside of our available insurance coverage and adversely impact our financial condition. Upon closing of the Asset Purchase Agreement, Foxconn will generally assume environmental liabilities arising from the Lordstown facility; however, we will retain an indemnity obligation for certain undisclosed liabilities known by us or caused by us during our period of ownership. Regulatory requirements may have a negative effect upon our business.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Regulatory requirements may have a negative effect upon our business.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and any other vehicles we may produce will be subject to substantial regulation under federal, state and local laws and standards. These regulations include those promulgated by the U.S. EPA, the CARB, the NHTSA, the PHMSA and various state boards, and compliance certification is required for each new model year. These laws and standards are subject to change from time to time and we could become subject to additional regulations in the future. In addition, federal, state and local laws and industrial standards for electric vehicles are still developing. Compliance with these regulations, including obtaining necessary approvals, could be challenging, burdensome, time-consuming and expensive. If compliance and obtaining approvals results in delays or substantial expenses, our business could be adversely affected.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be exposed to liability for infringing upon other companies’ intellectual property rights.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 xml:space="preserve">Our success will, in part, depend on our ability to operate without infringing on others’ proprietary rights. Although we are starting with a new design and development and are relying on the licensed rights from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Part I – Item 3. </w:t>
      </w:r>
      <w:r>
        <w:rPr>
          <w:rFonts w:ascii="Arial" w:cs="Arial" w:eastAsia="Arial" w:hAnsi="Arial"/>
          <w:sz w:val="18"/>
          <w:szCs w:val="18"/>
          <w:i w:val="1"/>
          <w:iCs w:val="1"/>
          <w:color w:val="231F20"/>
        </w:rPr>
        <w:t>Legal Proceedings.</w:t>
      </w:r>
    </w:p>
    <w:p>
      <w:pPr>
        <w:spacing w:after="0" w:line="181"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b w:val="1"/>
          <w:bCs w:val="1"/>
          <w:i w:val="1"/>
          <w:iCs w:val="1"/>
          <w:color w:val="231F20"/>
        </w:rPr>
        <w:t>The Endurance will make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8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The battery packs in the Endurance will use lithium-ion cells, which have been used for years in laptop computers and cell phones. On rare occasions, if not appropriately managed and controlled, lithium-ion cells can rapidly release the energy they contain by venting smoke and flames in a manner that can ignite nearby materials. This has occurred in our testing as we refine our software and other systems. Although we believe we can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will carry commercial general liability, commercial automobile liability and umbrella insurance, which may not be adequate to ensure against all losses.</w:t>
      </w:r>
    </w:p>
    <w:p>
      <w:pPr>
        <w:spacing w:after="0" w:line="185"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We may face legal challenges in one or more states in our attempting to sell directly to customers that could adversely affect our costs.</w:t>
      </w:r>
    </w:p>
    <w:p>
      <w:pPr>
        <w:spacing w:after="0" w:line="10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Our business plan includes the direct sale of vehicles to commercial fleet operators and managers,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recently became a licensed dealer in California and anticipate that we may become a licensed dealer in additional states.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 compliance with the various state requirements, which change from time to time. Regulatory compliance and likely challenges to the distribution model will add to the cost of our business.</w:t>
      </w:r>
    </w:p>
    <w:p>
      <w:pPr>
        <w:spacing w:after="0" w:line="186"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i w:val="1"/>
          <w:iCs w:val="1"/>
          <w:color w:val="231F20"/>
        </w:rPr>
        <w:t>We may be compelled to undertake product recalls or take other actions, which could adversely affect our business, prospects, operating results, reputation and financial condition.</w:t>
      </w:r>
    </w:p>
    <w:p>
      <w:pPr>
        <w:spacing w:after="0" w:line="94"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231F20"/>
        </w:rPr>
        <w:t>Any product recall in the future may result in adverse publicity, damage our reputation and adversely affect our business, prospects, operating results and financial condition. In the future, we may, voluntarily or involuntarily, initiate a recall if any of our electric vehicles or components (including our battery cells) prove to be defective or noncompliant with applicable federal motor vehicle safety standards. Such recalls, whether caused by systems or components engineered or manufactured by us, Foxconn or our suppliers, would involve significant expense and diversion of management’s attention and other resources, which could adversely affect our brand image in our target market and our business, prospects, financial condition and operating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539"/>
        <w:spacing w:after="0" w:line="287" w:lineRule="auto"/>
        <w:rPr>
          <w:sz w:val="20"/>
          <w:szCs w:val="20"/>
          <w:color w:val="auto"/>
        </w:rPr>
      </w:pPr>
      <w:r>
        <w:rPr>
          <w:rFonts w:ascii="Arial" w:cs="Arial" w:eastAsia="Arial" w:hAnsi="Arial"/>
          <w:sz w:val="18"/>
          <w:szCs w:val="18"/>
          <w:b w:val="1"/>
          <w:bCs w:val="1"/>
          <w:i w:val="1"/>
          <w:iCs w:val="1"/>
          <w:color w:val="231F20"/>
        </w:rPr>
        <w:t>Insufficient warranty reserves to cover future warranty claims could adversely affect our business, prospects, financial condition and operating results.</w:t>
      </w:r>
    </w:p>
    <w:p>
      <w:pPr>
        <w:spacing w:after="0" w:line="107"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231F20"/>
        </w:rPr>
        <w:t>Once our electric pickup trucks are in production and sold to the public, we will need to maintain warranty reserves to cover any warranty-related claims. If our warranty reserves are inadequate to cover such future warranty claims, our business, prospects, financial condition and operating results could be materially and adversely affected. We may become subject to significant and unexpected warranty expenses. There can be no assurances that then-existing warranty reserves will be sufficient to cover all claims.</w:t>
      </w:r>
    </w:p>
    <w:p>
      <w:pPr>
        <w:spacing w:after="0" w:line="183" w:lineRule="exact"/>
        <w:rPr>
          <w:sz w:val="20"/>
          <w:szCs w:val="20"/>
          <w:color w:val="auto"/>
        </w:rPr>
      </w:pPr>
    </w:p>
    <w:p>
      <w:pPr>
        <w:ind w:left="60" w:right="79"/>
        <w:spacing w:after="0" w:line="287" w:lineRule="auto"/>
        <w:rPr>
          <w:sz w:val="20"/>
          <w:szCs w:val="20"/>
          <w:color w:val="auto"/>
        </w:rPr>
      </w:pPr>
      <w:r>
        <w:rPr>
          <w:rFonts w:ascii="Arial" w:cs="Arial" w:eastAsia="Arial" w:hAnsi="Arial"/>
          <w:sz w:val="18"/>
          <w:szCs w:val="18"/>
          <w:b w:val="1"/>
          <w:bCs w:val="1"/>
          <w:i w:val="1"/>
          <w:iCs w:val="1"/>
          <w:color w:val="231F20"/>
        </w:rPr>
        <w:t>We intend to collect and process certain information about our customers and will be subject to various privacy and data protection laws.</w:t>
      </w:r>
    </w:p>
    <w:p>
      <w:pPr>
        <w:spacing w:after="0" w:line="107" w:lineRule="exact"/>
        <w:rPr>
          <w:sz w:val="20"/>
          <w:szCs w:val="20"/>
          <w:color w:val="auto"/>
        </w:rPr>
      </w:pPr>
    </w:p>
    <w:p>
      <w:pPr>
        <w:ind w:left="60" w:right="119"/>
        <w:spacing w:after="0" w:line="251" w:lineRule="auto"/>
        <w:rPr>
          <w:sz w:val="20"/>
          <w:szCs w:val="20"/>
          <w:color w:val="auto"/>
        </w:rPr>
      </w:pPr>
      <w:r>
        <w:rPr>
          <w:rFonts w:ascii="Arial" w:cs="Arial" w:eastAsia="Arial" w:hAnsi="Arial"/>
          <w:sz w:val="18"/>
          <w:szCs w:val="18"/>
          <w:color w:val="231F20"/>
        </w:rPr>
        <w:t>We intend to collect and process certain information about our customers,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information about our customers could carry similar consequences. Should we become subject to additional privacy or data protection laws, we may need to undertake compliance efforts that could carry a large cost. Although we take steps to protect the security of our customers’ personal information, we may be required to expend significant resources to comply with data security incident notification requirements if a third-party accesses or acquires the personal information of our customers without authorization or if we otherwise experience a data security incident or loss of customers’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87" w:lineRule="exact"/>
        <w:rPr>
          <w:sz w:val="20"/>
          <w:szCs w:val="20"/>
          <w:color w:val="auto"/>
        </w:rPr>
      </w:pPr>
    </w:p>
    <w:p>
      <w:pPr>
        <w:ind w:left="60" w:right="99"/>
        <w:spacing w:after="0" w:line="287" w:lineRule="auto"/>
        <w:rPr>
          <w:sz w:val="20"/>
          <w:szCs w:val="20"/>
          <w:color w:val="auto"/>
        </w:rPr>
      </w:pPr>
      <w:r>
        <w:rPr>
          <w:rFonts w:ascii="Arial" w:cs="Arial" w:eastAsia="Arial" w:hAnsi="Arial"/>
          <w:sz w:val="18"/>
          <w:szCs w:val="18"/>
          <w:b w:val="1"/>
          <w:bCs w:val="1"/>
          <w:i w:val="1"/>
          <w:iCs w:val="1"/>
          <w:color w:val="231F20"/>
        </w:rPr>
        <w:t>Interruption or failure of, or unauthorized access to, our or the Endurance’s information technology and communications systems could adversely affect our operating results and reputation.</w:t>
      </w:r>
    </w:p>
    <w:p>
      <w:pPr>
        <w:spacing w:after="0" w:line="94" w:lineRule="exact"/>
        <w:rPr>
          <w:sz w:val="20"/>
          <w:szCs w:val="20"/>
          <w:color w:val="auto"/>
        </w:rPr>
      </w:pPr>
    </w:p>
    <w:p>
      <w:pPr>
        <w:ind w:left="60" w:right="359"/>
        <w:spacing w:after="0" w:line="252" w:lineRule="auto"/>
        <w:rPr>
          <w:sz w:val="20"/>
          <w:szCs w:val="20"/>
          <w:color w:val="auto"/>
        </w:rPr>
      </w:pPr>
      <w:r>
        <w:rPr>
          <w:rFonts w:ascii="Arial" w:cs="Arial" w:eastAsia="Arial" w:hAnsi="Arial"/>
          <w:sz w:val="18"/>
          <w:szCs w:val="18"/>
          <w:color w:val="231F20"/>
        </w:rPr>
        <w:t>We are currently developing information technology and communications systems to assist us in the management of our business. The production of our vehicles will require the development, maintenance and improvement of information technology and communications systems in the United States, which will include product data management, procurement, inventory management, production planning and execution, sales, service and logistics, financial, tax and regulatory compliance systems. The availability and effectiveness of operating our business will depend on these systems.</w:t>
      </w:r>
    </w:p>
    <w:p>
      <w:pPr>
        <w:spacing w:after="0" w:line="208"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In addition, software, information technology and communications systems will be integral to the operation and functionality of the Endurance. The Endurance will be designed with built-in data connectivity to accept and install periodic remote updates to improve or update its functionality. Although these systems will be designed and tested for resiliency and security, they involve complex technologies, and we cannot be certain they will be entirely free from vulnerabilities.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As a result, all of these systems may be vulnerable to damage or interruption from, among other things, data breaches, cyber-attacks, actual or threatened geopolitical conflict, war, fire, natural disasters, power loss, telecommunications failures, computer viruses and other attempts to harm our systems or the operation of Endurance vehicles. We cannot be certain that these systems or 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General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insurance strategy may not be adequate to protect us from all business risks.</w:t>
      </w:r>
    </w:p>
    <w:p>
      <w:pPr>
        <w:spacing w:after="0" w:line="18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 xml:space="preserve">We are currently and may in the future be subject to, or become a party to, litigation, regulatory actions, and government investigations and inquiries. In addition, in the ordinary course of business, we may be subject to losses resulting from products liability, accidents, acts of God and other claims against us. See Part I – Item 3. </w:t>
      </w:r>
      <w:r>
        <w:rPr>
          <w:rFonts w:ascii="Arial" w:cs="Arial" w:eastAsia="Arial" w:hAnsi="Arial"/>
          <w:sz w:val="18"/>
          <w:szCs w:val="18"/>
          <w:i w:val="1"/>
          <w:iCs w:val="1"/>
          <w:color w:val="231F20"/>
        </w:rPr>
        <w:t xml:space="preserve">Legal Proceedings </w:t>
      </w:r>
      <w:r>
        <w:rPr>
          <w:rFonts w:ascii="Arial" w:cs="Arial" w:eastAsia="Arial" w:hAnsi="Arial"/>
          <w:sz w:val="18"/>
          <w:szCs w:val="18"/>
          <w:color w:val="231F20"/>
        </w:rPr>
        <w:t>below and in our subsequent filings with the SEC for additional information.</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These proceedings and incidents may include claims for which we have no insurance coverage. While we currently carry commercial general liability, commercial automobile liability, excess liability, workers’ compensation, cyber security and directors’ and officers’ insurance policies, coverage amounts are limited and we may not maintain as much insurance coverage as other OEMs do. In some cases, we may not maintain any insurance coverage at all.</w:t>
      </w:r>
    </w:p>
    <w:p>
      <w:pPr>
        <w:spacing w:after="0" w:line="202"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231F20"/>
        </w:rPr>
        <w:t xml:space="preserve">Additionally, the policies that we do have may include significant deductibles and exclusions, and we cannot be certain that our insurance coverage will be applicable to or sufficient to cover all current and future claims against us. </w:t>
      </w:r>
      <w:r>
        <w:rPr>
          <w:rFonts w:ascii="Arial" w:cs="Arial" w:eastAsia="Arial" w:hAnsi="Arial"/>
          <w:sz w:val="18"/>
          <w:szCs w:val="18"/>
          <w:b w:val="1"/>
          <w:bCs w:val="1"/>
          <w:i w:val="1"/>
          <w:iCs w:val="1"/>
          <w:color w:val="231F20"/>
        </w:rPr>
        <w:t>O</w:t>
      </w:r>
      <w:r>
        <w:rPr>
          <w:rFonts w:ascii="Arial" w:cs="Arial" w:eastAsia="Arial" w:hAnsi="Arial"/>
          <w:sz w:val="18"/>
          <w:szCs w:val="18"/>
          <w:color w:val="231F20"/>
        </w:rPr>
        <w:t>ur insurers have raised and may in the future raise, defenses as to coverage of all or some of the claims and, in any event, available insurance coverage may not be sufficient. A loss that is uninsured or exceeds policy limits may require us to pay substantial amounts, which could adversely affect our financial condition, operating results and prospects.</w:t>
      </w:r>
    </w:p>
    <w:p>
      <w:pPr>
        <w:spacing w:after="0" w:line="186" w:lineRule="exact"/>
        <w:rPr>
          <w:sz w:val="20"/>
          <w:szCs w:val="20"/>
          <w:color w:val="auto"/>
        </w:rPr>
      </w:pPr>
    </w:p>
    <w:p>
      <w:pPr>
        <w:ind w:left="60" w:right="239"/>
        <w:spacing w:after="0" w:line="268" w:lineRule="auto"/>
        <w:rPr>
          <w:sz w:val="20"/>
          <w:szCs w:val="20"/>
          <w:color w:val="auto"/>
        </w:rPr>
      </w:pPr>
      <w:r>
        <w:rPr>
          <w:rFonts w:ascii="Arial" w:cs="Arial" w:eastAsia="Arial" w:hAnsi="Arial"/>
          <w:sz w:val="18"/>
          <w:szCs w:val="18"/>
          <w:b w:val="1"/>
          <w:bCs w:val="1"/>
          <w:i w:val="1"/>
          <w:iCs w:val="1"/>
          <w:color w:val="231F20"/>
        </w:rPr>
        <w:t>The Lordstown facility could be damaged or adversely affected as a result of disasters or other unpredictable events. Any prolonged disruption in the operations of the facility would adversely affect our business, prospects, financial condition and operating results.</w:t>
      </w:r>
    </w:p>
    <w:p>
      <w:pPr>
        <w:spacing w:after="0" w:line="112"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231F20"/>
        </w:rPr>
        <w:t>We currently plan for our electric vehicles to be assembled at a single facility, the Lordstown facility. Any prolonged disruption of operations at the Lordstown facility, whether due to technical, information systems, communication networks, strikes, accidents, weather conditions or other natural disaster, the COVID-19 pandemic, global instability, acts of war or otherwise, whether short- or long-term, would adversely affect our business, prospects, financial condition and operating results. Furthermore, pursuant to the APA, we have the obligation to deliver the Lordstown facility to Foxconn in substantially similar operating state as of the effective date of the APA. Therefore, any adverse impacts to the facility are likely to cause a delay in the APA closing, financial exposure or perhaps termination of the APA.</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are or may be subject to risks associated with strategic alliances, joint ventures, or acquisitions.</w:t>
      </w:r>
    </w:p>
    <w:p>
      <w:pPr>
        <w:spacing w:after="0" w:line="16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We have and are in the process of and may from time to time consider entering into strategic alliances, including joint ventures, minority equity investments or other transactions with various third parties to further our business purpose, including the Foxconn Transactions and other potential relationships.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its reputation from events relating to its business, we may also suffer negative publicity or harm to our reputation by virtue of our association with any such third party.</w:t>
      </w:r>
    </w:p>
    <w:p>
      <w:pPr>
        <w:spacing w:after="0" w:line="207"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231F20"/>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231F20"/>
        </w:rPr>
        <w:t>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an acquired business. Moreover, the costs of identifying and consummating acquisitions may be significant.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Securities and Being a Public Company</w:t>
      </w:r>
    </w:p>
    <w:p>
      <w:pPr>
        <w:spacing w:after="0" w:line="198"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The concentration of ownership of our stock among a few large stockholders may limit your ability to influence significant corporate decisions.</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ownership by a few stockholders may account for a large percentage of our outstanding Class A common stock. For example, as of December 31, 2021, Stephen S. Burns, our former Chief Executive Officer and Chairman, beneficially owned Class A common stock representing approximately 22.4% of our outstanding shares. Foxconn currently beneficially owns approximately 3.7% of Class A common stock and may increase its beneficial ownership. As long as Mr. Burns, other individuals or companies own or control a significant percentage of our outstanding voting power, they could have the ability to influence certain corporate actions requiring stockholder approval including the election of directors, any amendment of our second amended and restated certificate of incorporation (the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169"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b w:val="1"/>
          <w:bCs w:val="1"/>
          <w:i w:val="1"/>
          <w:iCs w:val="1"/>
          <w:color w:val="231F20"/>
        </w:rPr>
        <w:t>We may issue shares of preferred stock or additional shares of Class A common stock, which would dilute the interest of our stockholders and could cause the price of our Class A common stock to decline.</w:t>
      </w:r>
    </w:p>
    <w:p>
      <w:pPr>
        <w:spacing w:after="0" w:line="123"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231F20"/>
        </w:rPr>
        <w:t>Our Charter provides for 312 million authorized shares of capital stock, consisting of (i) 300 million shares of Class A common stock and (ii) 12 million shares of preferred stock.</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To raise capital, we may sell Class A common stock, preferred stock, convertible securities or other equity securities in one or more transactions, including those contemplated by the Equity Purchase Agreement, at prices and in a manner we determine from time to time. We may sell shares or other securities in any other offering at a price per share that is less than the price per share paid by our current stockholders, and investors purchasing shares or other securities in the future could have rights superior to existing stockholders. In particular, we may issue a substantial number of shares of preferred stock and/or additional shares of Class A common stock in connection with the Foxconn Transactions, a potential joint product development agreement and other contemplated transactions with Foxconn, our financing efforts and as compensation to our employees and directors. Any such issuance:</w:t>
      </w:r>
    </w:p>
    <w:p>
      <w:pPr>
        <w:spacing w:after="0" w:line="207" w:lineRule="exact"/>
        <w:rPr>
          <w:sz w:val="20"/>
          <w:szCs w:val="20"/>
          <w:color w:val="auto"/>
        </w:rPr>
      </w:pPr>
    </w:p>
    <w:p>
      <w:pPr>
        <w:ind w:left="1380" w:hanging="655"/>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may significantly dilute the equity interest of our then-current stockholders;</w:t>
      </w:r>
    </w:p>
    <w:p>
      <w:pPr>
        <w:spacing w:after="0" w:line="9" w:lineRule="exact"/>
        <w:rPr>
          <w:rFonts w:ascii="Arial" w:cs="Arial" w:eastAsia="Arial" w:hAnsi="Arial"/>
          <w:sz w:val="18"/>
          <w:szCs w:val="18"/>
          <w:color w:val="auto"/>
        </w:rPr>
      </w:pPr>
    </w:p>
    <w:p>
      <w:pPr>
        <w:ind w:left="1380" w:right="199" w:hanging="655"/>
        <w:spacing w:after="0" w:line="234"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may subordinate the rights of holders of shares of Class A common stock if one or more classes of preferred stock are created, and such preferred shares are issued, with rights senior to those afforded to our Class A common stock;</w:t>
      </w:r>
    </w:p>
    <w:p>
      <w:pPr>
        <w:spacing w:after="0" w:line="2" w:lineRule="exact"/>
        <w:rPr>
          <w:rFonts w:ascii="Arial" w:cs="Arial" w:eastAsia="Arial" w:hAnsi="Arial"/>
          <w:sz w:val="18"/>
          <w:szCs w:val="18"/>
          <w:color w:val="auto"/>
        </w:rPr>
      </w:pPr>
    </w:p>
    <w:p>
      <w:pPr>
        <w:ind w:left="1380" w:right="79" w:hanging="655"/>
        <w:spacing w:after="0" w:line="234"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2"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may adversely affect the prevailing market price for our Class A common stock.</w:t>
      </w:r>
    </w:p>
    <w:p>
      <w:pPr>
        <w:spacing w:after="0" w:line="21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On July 23, 2021, we entered into the Equity Purchase Agreement with YA, pursuant to which YA has committed to purchase up to $400 million in shares of our Class A common stock, subject to certain limitations and conditions set forth in the Equity Purchase Agreement. The shares of our Class A common stock that may be issued under the Purchase Agreement may be sold by us to YA at our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discretion from time to time over an approximately 36-month period commencing on the date of the agreement. We generally have the right to control the timing and amount of any sales of our shares of Class A common stock to YA under the Equity Purchase Agreement. Future sales of our Class A common stock, if any, to YA under the Purchase Agreement will depend upon market conditions and other factors. Because the purchase price per share to be paid by YA for the shares of Class A common stock that we may elect to sell to YA under the Equity Purchase Agreement, if any, will fluctuate based on the market prices of our Class A common stock, it is not possible for us to predict the number of shares of Class A common stock that we will sell to YA under the Equity Purchase Agreement, the purchase price per share that YA will pay for shares purchased from us under the Equity Purchase Agreement, or the aggregate gross proceeds that we will receive from those purchases by YA under the Equity Purchase Agreement. The Equity Purchase Agreement is subject to certain limitations and conditions. In particular, at current market prices of our shares of Class A common stock, without stockholder approval, we cannot issue or sell to YA shares of our Class A common stock in excess of 35.1 million shares, which would limit the amount of funds we are able to raise to significantly less than the $400 million commitment under the Equity Purchase Agreement.</w:t>
      </w:r>
    </w:p>
    <w:p>
      <w:pPr>
        <w:spacing w:after="0" w:line="356"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231F20"/>
        </w:rPr>
        <w:t>We may not have sufficient authorized shares to issue in connection with a future capital raise without shareholder approval. We intend to seek approval of an amendment to our Charter to increase the authorized number of shares of Class A common stock and preferred stock. No assurance can be given that our shareholders will approve an increase in authorized shares, that may result in our inability to raise adequate funds to execute our strategy.</w:t>
      </w:r>
    </w:p>
    <w:p>
      <w:pPr>
        <w:spacing w:after="0" w:line="167"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Sales of a substantial number of shares of our securities in the public market could cause the market price of our Class A common stock to drop significantly, even if our business is doing well.</w:t>
      </w:r>
    </w:p>
    <w:p>
      <w:pPr>
        <w:spacing w:after="0" w:line="16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Sales of a substantial number of shares of Class A common stock in the public market could occur at any time, including sales pursuant to the Equity Purchase Agreement and resale registration statement covering such shares, the MOU, or other efforts to raise additional capital or in connection with a strategic alliance, business combination or similar transaction, as well as pursuant to a resale prospectus covering shares issued in the Business Combination and registered pursuant to the Registration Rights and Lock-up Agreement (defined below). These sales, or the perception in the market that the 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19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As of February 24, 2022, we had outstanding 196.5 million shares of our Class A common stock and Warrants to purchase approximately 3.9 million shares of our Class A common stock. The exercise price of the BGL Warrants is $ 10.00 per share and of the Private Placement Warrants is $11.50 per share. To the extent such Warrants are exercised, additional shares of our Class A common stock will be issued, which will result in dilution to the holders of our Class A common stock and will increase the number of shares eligible for resale in the public market. In addition, as of February 24, 2022, an aggregate of 14.7 million shares of Class A common stock are subject to outstanding awards or available for future issuance under the 2020 Equity Incentive Plan (the “2020 Plan”). Sales, or the potential sales, of substantial numbers of shares in the public market, subject to certain restrictions on transfer until the termination of applicable lock-up periods, could increase the volatility of the market price of our Class A common stock or adversely affect the market price of our Class A common stock.</w:t>
      </w:r>
    </w:p>
    <w:p>
      <w:pPr>
        <w:spacing w:after="0" w:line="19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Reg</w:t>
      </w:r>
      <w:r>
        <w:rPr>
          <w:rFonts w:ascii="Arial" w:cs="Arial" w:eastAsia="Arial" w:hAnsi="Arial"/>
          <w:sz w:val="18"/>
          <w:szCs w:val="18"/>
          <w:color w:val="231F20"/>
        </w:rPr>
        <w:t>istration Rights and Lock-up Agreement (the “Registration Rights and Lock-up Agreement”) that we</w:t>
      </w:r>
      <w:r>
        <w:rPr>
          <w:rFonts w:ascii="Arial" w:cs="Arial" w:eastAsia="Arial" w:hAnsi="Arial"/>
          <w:sz w:val="18"/>
          <w:szCs w:val="18"/>
          <w:color w:val="auto"/>
        </w:rPr>
        <w:t xml:space="preserve"> </w:t>
      </w:r>
      <w:r>
        <w:rPr>
          <w:rFonts w:ascii="Arial" w:cs="Arial" w:eastAsia="Arial" w:hAnsi="Arial"/>
          <w:sz w:val="18"/>
          <w:szCs w:val="18"/>
          <w:color w:val="231F20"/>
        </w:rPr>
        <w:t>entered into effective as of the Closing of the Business Combination provided that certain of our securities held by the parties to such agreement were locked-up, pursuant to which 50% of shares of Class A common stock held by Stephen S. Burns will continue be locked-up until October 23, 2022. 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b w:val="1"/>
          <w:bCs w:val="1"/>
          <w:i w:val="1"/>
          <w:iCs w:val="1"/>
          <w:color w:val="231F20"/>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25"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likely to be limited by covenants of any existing and future outstanding indebtedness we incur, preferred stock we may issue, or other agreements we may enter into. As a result, you may not receive any return on an investment in our Class A common stock unless you sell our Class A common stock for a price greater than that which you paid for it. See Part I – Item 5. Market for Registrant’s Common Equity, Related Stockholder Matters, and Issuer Purchases of Equity Securities — Dividend Policy</w:t>
      </w:r>
      <w:r>
        <w:rPr>
          <w:rFonts w:ascii="Arial" w:cs="Arial" w:eastAsia="Arial" w:hAnsi="Arial"/>
          <w:sz w:val="18"/>
          <w:szCs w:val="18"/>
          <w:color w:val="000000"/>
        </w:rPr>
        <w:t>.</w:t>
      </w:r>
    </w:p>
    <w:p>
      <w:pPr>
        <w:spacing w:after="0" w:line="189"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i w:val="1"/>
          <w:iCs w:val="1"/>
          <w:color w:val="231F20"/>
        </w:rPr>
        <w:t>Our stock price is volatile, and you may not be able to sell the shares of our Class A common stock at or above the price you paid.</w:t>
      </w:r>
    </w:p>
    <w:p>
      <w:pPr>
        <w:spacing w:after="0" w:line="161" w:lineRule="exact"/>
        <w:rPr>
          <w:sz w:val="20"/>
          <w:szCs w:val="20"/>
          <w:color w:val="auto"/>
        </w:rPr>
      </w:pPr>
    </w:p>
    <w:p>
      <w:pPr>
        <w:ind w:left="60" w:right="159"/>
        <w:spacing w:after="0" w:line="234" w:lineRule="auto"/>
        <w:rPr>
          <w:sz w:val="20"/>
          <w:szCs w:val="20"/>
          <w:color w:val="auto"/>
        </w:rPr>
      </w:pPr>
      <w:r>
        <w:rPr>
          <w:rFonts w:ascii="Arial" w:cs="Arial" w:eastAsia="Arial" w:hAnsi="Arial"/>
          <w:sz w:val="18"/>
          <w:szCs w:val="18"/>
          <w:color w:val="231F20"/>
        </w:rPr>
        <w:t>The trading price of our Class A common stock has been very volatile and could be subject to wide fluctuations in response to various factors, some of which are beyond our control. These factors include:</w:t>
      </w:r>
    </w:p>
    <w:p>
      <w:pPr>
        <w:spacing w:after="0" w:line="1" w:lineRule="exact"/>
        <w:rPr>
          <w:sz w:val="20"/>
          <w:szCs w:val="20"/>
          <w:color w:val="auto"/>
        </w:rPr>
      </w:pPr>
    </w:p>
    <w:p>
      <w:pPr>
        <w:ind w:left="1380" w:right="279" w:hanging="655"/>
        <w:spacing w:after="0" w:line="234"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consummate the Foxconn Transactions or enter into additional agreements with Foxconn;</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obtain adequate financing and on acceptable terms;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commencement of, or involvement in, investigations, inquiries or litigation;</w:t>
      </w:r>
    </w:p>
    <w:p>
      <w:pPr>
        <w:spacing w:after="0" w:line="9" w:lineRule="exact"/>
        <w:rPr>
          <w:rFonts w:ascii="Arial" w:cs="Arial" w:eastAsia="Arial" w:hAnsi="Arial"/>
          <w:sz w:val="18"/>
          <w:szCs w:val="18"/>
          <w:color w:val="231F20"/>
        </w:rPr>
      </w:pPr>
    </w:p>
    <w:p>
      <w:pPr>
        <w:ind w:left="1380" w:right="199" w:hanging="655"/>
        <w:spacing w:after="0" w:line="250"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complete the engineering and testing of the Endurance, start production and bring it to market on the expected timeline and budget;</w:t>
      </w: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changes in our operating results and funding needs;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success of our competitors;</w:t>
      </w:r>
    </w:p>
    <w:p>
      <w:pPr>
        <w:spacing w:after="0" w:line="9" w:lineRule="exact"/>
        <w:rPr>
          <w:rFonts w:ascii="Arial" w:cs="Arial" w:eastAsia="Arial" w:hAnsi="Arial"/>
          <w:sz w:val="18"/>
          <w:szCs w:val="18"/>
          <w:color w:val="231F20"/>
        </w:rPr>
      </w:pPr>
    </w:p>
    <w:p>
      <w:pPr>
        <w:ind w:left="1380" w:right="559" w:hanging="655"/>
        <w:spacing w:after="0" w:line="234"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operating results failing to meet the expectation of securities analysts or investors in a particular period;</w:t>
      </w:r>
    </w:p>
    <w:p>
      <w:pPr>
        <w:spacing w:after="0" w:line="1" w:lineRule="exact"/>
        <w:rPr>
          <w:rFonts w:ascii="Arial" w:cs="Arial" w:eastAsia="Arial" w:hAnsi="Arial"/>
          <w:sz w:val="18"/>
          <w:szCs w:val="18"/>
          <w:color w:val="231F20"/>
        </w:rPr>
      </w:pPr>
    </w:p>
    <w:p>
      <w:pPr>
        <w:ind w:left="1380" w:right="599" w:hanging="655"/>
        <w:spacing w:after="0" w:line="234"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results or the quarterly financial results of companies perceived to be similar to us;</w:t>
      </w:r>
    </w:p>
    <w:p>
      <w:pPr>
        <w:spacing w:after="0" w:line="1" w:lineRule="exact"/>
        <w:rPr>
          <w:rFonts w:ascii="Arial" w:cs="Arial" w:eastAsia="Arial" w:hAnsi="Arial"/>
          <w:sz w:val="18"/>
          <w:szCs w:val="18"/>
          <w:color w:val="231F20"/>
        </w:rPr>
      </w:pPr>
    </w:p>
    <w:p>
      <w:pPr>
        <w:ind w:left="1380" w:right="319" w:hanging="655"/>
        <w:spacing w:after="0" w:line="234"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industries in which we operate in general;</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stock price performance of other companies that investors deem comparable to us;</w:t>
      </w:r>
    </w:p>
    <w:p>
      <w:pPr>
        <w:spacing w:after="0" w:line="9" w:lineRule="exact"/>
        <w:rPr>
          <w:rFonts w:ascii="Arial" w:cs="Arial" w:eastAsia="Arial" w:hAnsi="Arial"/>
          <w:sz w:val="18"/>
          <w:szCs w:val="18"/>
          <w:color w:val="231F20"/>
        </w:rPr>
      </w:pPr>
    </w:p>
    <w:p>
      <w:pPr>
        <w:ind w:left="1380" w:right="119" w:hanging="655"/>
        <w:spacing w:after="0" w:line="250"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announcements by us or our competitors of significant acquisitions, strategic partnerships, joint ventures, collaborations or capital commitments;</w:t>
      </w: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focus on long-term goals over short-term results;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timing and magnitude of our investments in the growth of our business;</w:t>
      </w:r>
    </w:p>
    <w:p>
      <w:pPr>
        <w:spacing w:after="0" w:line="9" w:lineRule="exact"/>
        <w:rPr>
          <w:rFonts w:ascii="Arial" w:cs="Arial" w:eastAsia="Arial" w:hAnsi="Arial"/>
          <w:sz w:val="18"/>
          <w:szCs w:val="18"/>
          <w:color w:val="231F20"/>
        </w:rPr>
      </w:pPr>
    </w:p>
    <w:p>
      <w:pPr>
        <w:ind w:left="1380" w:right="339" w:hanging="655"/>
        <w:spacing w:after="0" w:line="250"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disputes or other developments related to our intellectual property or other proprietary rights, including litigation;</w:t>
      </w: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9" w:lineRule="exact"/>
        <w:rPr>
          <w:rFonts w:ascii="Arial" w:cs="Arial" w:eastAsia="Arial" w:hAnsi="Arial"/>
          <w:sz w:val="18"/>
          <w:szCs w:val="18"/>
          <w:color w:val="231F20"/>
        </w:rPr>
      </w:pPr>
    </w:p>
    <w:p>
      <w:pPr>
        <w:ind w:left="1380" w:right="399" w:hanging="655"/>
        <w:spacing w:after="0" w:line="250"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changes in our capital structure, including future issuances of securities or the incurrence of debt;</w:t>
      </w: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volume of shares of our Class A common stock available for public sale;</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major changes in our board of directors or management;</w:t>
      </w:r>
    </w:p>
    <w:p>
      <w:pPr>
        <w:spacing w:after="0" w:line="9" w:lineRule="exact"/>
        <w:rPr>
          <w:rFonts w:ascii="Arial" w:cs="Arial" w:eastAsia="Arial" w:hAnsi="Arial"/>
          <w:sz w:val="18"/>
          <w:szCs w:val="18"/>
          <w:color w:val="231F20"/>
        </w:rPr>
      </w:pPr>
    </w:p>
    <w:p>
      <w:pPr>
        <w:ind w:left="1380" w:right="339" w:hanging="655"/>
        <w:spacing w:after="0" w:line="250"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sales of substantial amounts of Class A common stock by our directors, executive officers or significant stockholders or the perception that such sales could occur; and</w:t>
      </w:r>
    </w:p>
    <w:p>
      <w:pPr>
        <w:ind w:left="1380" w:right="719" w:hanging="655"/>
        <w:spacing w:after="0" w:line="261" w:lineRule="auto"/>
        <w:tabs>
          <w:tab w:leader="none" w:pos="1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general economic and political conditions such as recessions, interest rates, fuel prices, international currency fluctuations and acts of war or terrorism.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In addition, in the past, securities class action litigation has often been commenced against companies following periods of volatility in the overall market or the market price of the particular company’s securities. This type of litigation, which has been, and may in the future be, instituted against us, is likely to result in substantial costs and a diversion of our management’s attention and resources and have a material adverse impact on our financial condition and results of operations. For example, we currently have several litigation matters pending against us and current and former officers and directors of the Company and DiamondPeak. We intend to vigorously defend against the claims but there can be no assurances as to the outcome, costs, availability of insurance coverage and impact on our operating results, financial condition and prospects. See Part I – Item 3. Legal Proceedings below and in our subsequent filings with the SEC for additional information.</w:t>
      </w:r>
    </w:p>
    <w:p>
      <w:pPr>
        <w:spacing w:after="0" w:line="17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231F20"/>
        </w:rPr>
        <w:t>We incur significant increased expenses and administrative burdens as a public company and our management may not successfully or effectively manage our transition to public company obligations, which could have a material adverse effect on our business, financial condition and results of operations.</w:t>
      </w:r>
    </w:p>
    <w:p>
      <w:pPr>
        <w:spacing w:after="0" w:line="18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We face increased legal, accounting, administrative and other costs and expenses as a mature public company that Legacy Lordstown did not incur as a private company. SEC rules and regulations, the Sarbanes-Oxley Act, including the requirements of Section 404, as well as rules and regulations subsequently implemented by the SEC thereunder,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that are complex and time-consuming.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As of December 31, 2021, we no longer qualify as an “emerging growth company” as defined in Section 2(a)</w:t>
      </w:r>
    </w:p>
    <w:p>
      <w:pPr>
        <w:ind w:left="60" w:right="59" w:hanging="10"/>
        <w:spacing w:after="0" w:line="238" w:lineRule="auto"/>
        <w:tabs>
          <w:tab w:leader="none" w:pos="43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of the Securities Act, as modified by the Jumpstart Our Business Act of 2012 (the “JOBS Act”). Because we no longer qualify as an emerging growth company, and as certain extended transition periods available to emerging growth companies expire, we are subject to additional reporting requirements and standards and accelerated filing deadlines for our periodic reports.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Our management team may not successfully or effectively manage our ongoing transition to a public company, and these significant obligations under federal securities laws. Our limited experience in dealing with the increasingly complex laws pertaining to public companies could be a significant disadvantage in that it is likely that an increasing amount of management's time may be devoted to these activities which will result in less time being devoted to our management and growth. We currently do not, and in the future may not, have adequate personnel with the appropriate level of knowledge, experience and training in the accounting policies, practices or internal controls over financial reporting required of public companies in the United States. As part of our plan to remediate material weaknesses that have already been identified, we intend to expand our employee base and hire additional employees to support our operations as a public company that will increase our operating costs in future periods.</w:t>
      </w:r>
    </w:p>
    <w:p>
      <w:pPr>
        <w:spacing w:after="0" w:line="206"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231F20"/>
        </w:rPr>
        <w:t>Furthermore, if any issues in complying with those requirements are identified (for example, identifying a material weakness or significant deficiency in the internal control over financial reporting, as we have already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231F20"/>
        </w:rPr>
        <w:t>experienced), we could incur additional costs rectifying those issues, and the existence of those issues could adversely affect our reputation or investor perceptions of us.</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It is also more expensive to obtain directors’ and officers’ liability insurance, which we experienced in 2021, and risks associated with our status as a public company may make it more difficult to attract and retain qualified persons to serve on our board of directors or as executive officers. Advocacy efforts by stockholders and third parties may also prompt additional changes in governance and reporting requirements, which could further increase our costs.</w:t>
      </w:r>
    </w:p>
    <w:p>
      <w:pPr>
        <w:spacing w:after="0" w:line="202"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231F20"/>
        </w:rPr>
        <w:t>The additional reporting and other obligations imposed by these rules and regulations require us to divert a significant amount of money that could otherwise be used to expand our business and achieve strategic objectives. If we are unable to comply with and implement any changes effectively or efficiently, it could harm our operations, financial reporting, or financial results. While we are taking steps to implement the systems and processes required to comply with these additional requirements, there can be no assurance that the measures we have taken to date, and are continuing to implement, will enable us to comply fully and in a timely manner.</w:t>
      </w:r>
    </w:p>
    <w:p>
      <w:pPr>
        <w:spacing w:after="0" w:line="159" w:lineRule="exact"/>
        <w:rPr>
          <w:sz w:val="20"/>
          <w:szCs w:val="20"/>
          <w:color w:val="auto"/>
        </w:rPr>
      </w:pPr>
    </w:p>
    <w:p>
      <w:pPr>
        <w:ind w:left="60" w:right="239"/>
        <w:spacing w:after="0" w:line="291" w:lineRule="auto"/>
        <w:rPr>
          <w:sz w:val="20"/>
          <w:szCs w:val="20"/>
          <w:color w:val="auto"/>
        </w:rPr>
      </w:pPr>
      <w:r>
        <w:rPr>
          <w:rFonts w:ascii="Arial" w:cs="Arial" w:eastAsia="Arial" w:hAnsi="Arial"/>
          <w:sz w:val="17"/>
          <w:szCs w:val="17"/>
          <w:b w:val="1"/>
          <w:bCs w:val="1"/>
          <w:i w:val="1"/>
          <w:iCs w:val="1"/>
          <w:color w:val="231F20"/>
        </w:rPr>
        <w:t>Failure to timely implement and maintain adequate financial, information technology and management processes and controls and procedures have resulted and could in the future result in material weaknesses, leading to errors in our financial reporting and adversely affecting our business.</w:t>
      </w:r>
    </w:p>
    <w:p>
      <w:pPr>
        <w:spacing w:after="0" w:line="17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We are subject to the SEC’s internal control over financial reporting requirements and are subject to the auditor attestation requirements as of the end of the 2021 fiscal year. The design of internal controls over financial reporting has required and will continue to require significant time and resources from management and other personnel.</w:t>
      </w:r>
    </w:p>
    <w:p>
      <w:pPr>
        <w:spacing w:after="0" w:line="191"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231F20"/>
        </w:rPr>
        <w:t>As of December 31, 2020, our management identified the following material weaknesses in internal control over financial reporting:</w:t>
      </w:r>
    </w:p>
    <w:p>
      <w:pPr>
        <w:spacing w:after="0" w:line="183" w:lineRule="exact"/>
        <w:rPr>
          <w:sz w:val="20"/>
          <w:szCs w:val="20"/>
          <w:color w:val="auto"/>
        </w:rPr>
      </w:pPr>
    </w:p>
    <w:p>
      <w:pPr>
        <w:jc w:val="both"/>
        <w:ind w:left="720" w:right="79" w:hanging="319"/>
        <w:spacing w:after="0" w:line="234"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we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 w:lineRule="exact"/>
        <w:rPr>
          <w:rFonts w:ascii="Arial" w:cs="Arial" w:eastAsia="Arial" w:hAnsi="Arial"/>
          <w:sz w:val="18"/>
          <w:szCs w:val="18"/>
          <w:color w:val="231F20"/>
        </w:rPr>
      </w:pPr>
    </w:p>
    <w:p>
      <w:pPr>
        <w:ind w:left="720" w:right="119" w:hanging="319"/>
        <w:spacing w:after="0" w:line="234"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we did not have an effective risk assessment process that successfully identified and assessed risks of material misstatement to ensure controls were designed and implemented to respond to those risks; and</w:t>
      </w:r>
    </w:p>
    <w:p>
      <w:pPr>
        <w:spacing w:after="0" w:line="2" w:lineRule="exact"/>
        <w:rPr>
          <w:rFonts w:ascii="Arial" w:cs="Arial" w:eastAsia="Arial" w:hAnsi="Arial"/>
          <w:sz w:val="18"/>
          <w:szCs w:val="18"/>
          <w:color w:val="231F20"/>
        </w:rPr>
      </w:pPr>
    </w:p>
    <w:p>
      <w:pPr>
        <w:ind w:left="720" w:right="29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we did not have an effective monitoring process to assess the consistent operation of internal control over financial reporting and to remediate known control deficiencies.</w:t>
      </w:r>
    </w:p>
    <w:p>
      <w:pPr>
        <w:spacing w:after="0" w:line="183"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A material weakness is a deficiency or combination of deficiencies in internal control over financial reporting such that there is a reasonable possibility that a material misstatement of our financial statements would not be prevented or detected on a timely basis.</w:t>
      </w:r>
    </w:p>
    <w:p>
      <w:pPr>
        <w:spacing w:after="0" w:line="189"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231F20"/>
        </w:rPr>
        <w:t>These control deficiencies resulted in the restatement of our December 31, 2020 financial statements and our conclusion that our internal control over financial reporting was not effective as of December 31, 2020.</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Our management prepared and implemented a remediation plan in 2021 under the oversight of the Audit Committee. The plan involved, among other actions,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We made significant progress implementing our remediation plan during fiscal year 2021 as the design and implementation of relevant key controls occurred throughout the second half of the year. However, a material weakness will not be considered remediated until the applicable controls operate for a sufficient period of time. Management has concluded, through testing, that the following material weakness in internal control over financial reporting remained as of December 31, 2021: the Company did not have a sufficient number of trained resources with assigned responsibilities and accountability for the implementation and operation of internal controls over financial reporting.</w:t>
      </w:r>
    </w:p>
    <w:p>
      <w:pPr>
        <w:spacing w:after="0" w:line="1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As a consequence of the above material weakness, the Company did not effectively implement and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91" w:lineRule="exact"/>
        <w:rPr>
          <w:sz w:val="20"/>
          <w:szCs w:val="20"/>
          <w:color w:val="auto"/>
        </w:rPr>
      </w:pPr>
    </w:p>
    <w:p>
      <w:pPr>
        <w:ind w:left="60" w:right="439"/>
        <w:spacing w:after="0"/>
        <w:rPr>
          <w:sz w:val="20"/>
          <w:szCs w:val="20"/>
          <w:color w:val="auto"/>
        </w:rPr>
      </w:pPr>
      <w:r>
        <w:rPr>
          <w:rFonts w:ascii="Arial" w:cs="Arial" w:eastAsia="Arial" w:hAnsi="Arial"/>
          <w:sz w:val="18"/>
          <w:szCs w:val="18"/>
          <w:color w:val="231F20"/>
        </w:rPr>
        <w:t>Accordingly, management concluded that our internal control over financial reporting was not effective as of December 31, 2021 and our independent registered public accounting firm was not able to attest to the effectiveness of our internal control over financial reporting.</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We plan to continue to hire and train additional qualified personnel and to test the effectiveness of the controls implemented pursuant to the remediation plan in order to conclude that they are operating effectively, however, there can be no assurance that this will occur within 2022 or that we will be successful in remediating the material weakness.</w:t>
      </w:r>
    </w:p>
    <w:p>
      <w:pPr>
        <w:spacing w:after="0" w:line="19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If not remediated, this material weakness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Class A common stock could be adversely affected and we could become subject to litigation or investigations by Nasdaq, the SEC, or other regulatory authorities, which could require additional financial and management resources.</w:t>
      </w:r>
    </w:p>
    <w:p>
      <w:pPr>
        <w:spacing w:after="0" w:line="19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Further, additional weaknesses in our internal controls may be discovered in the future. Any failure to develop or maintain effective controls, or any difficulties encountered in our implementation or improvement, could adversely affect our operating results or cause us to fail to meet our reporting obligations and may result in a restatement of our financial statements for prior periods.</w:t>
      </w:r>
    </w:p>
    <w:p>
      <w:pPr>
        <w:spacing w:after="0" w:line="19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0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Our Class A common stock is currently listed on Nasdaq. Our continued eligibility for listing may depend on, among other things, compliance with minimum price and corporate governance requirements and timely filings with the SEC. If Nasdaq delists our Class A common stock from trading on its exchange for failure to meet the Nasdaq listing standards, we and our stockholders could face significant material adverse consequences including:</w:t>
      </w:r>
    </w:p>
    <w:p>
      <w:pPr>
        <w:spacing w:after="0" w:line="202" w:lineRule="exact"/>
        <w:rPr>
          <w:sz w:val="20"/>
          <w:szCs w:val="20"/>
          <w:color w:val="auto"/>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 limited availability of market quotations for our securities;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9" w:lineRule="exact"/>
        <w:rPr>
          <w:rFonts w:ascii="Arial" w:cs="Arial" w:eastAsia="Arial" w:hAnsi="Arial"/>
          <w:sz w:val="18"/>
          <w:szCs w:val="18"/>
          <w:color w:val="231F20"/>
        </w:rPr>
      </w:pPr>
    </w:p>
    <w:p>
      <w:pPr>
        <w:ind w:left="1380" w:right="179" w:hanging="655"/>
        <w:spacing w:after="0" w:line="234" w:lineRule="auto"/>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2" w:lineRule="exact"/>
        <w:rPr>
          <w:rFonts w:ascii="Arial" w:cs="Arial" w:eastAsia="Arial" w:hAnsi="Arial"/>
          <w:sz w:val="18"/>
          <w:szCs w:val="18"/>
          <w:color w:val="231F20"/>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 limited amount of news and analyst coverage;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231F20"/>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69"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b w:val="1"/>
          <w:bCs w:val="1"/>
          <w:i w:val="1"/>
          <w:iCs w:val="1"/>
          <w:color w:val="231F20"/>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2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181"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b w:val="1"/>
          <w:bCs w:val="1"/>
          <w:i w:val="1"/>
          <w:iCs w:val="1"/>
          <w:color w:val="231F20"/>
        </w:rPr>
        <w:t>Provisions in our Charter may prevent or delay an acquisition of us, which could decrease the trading price of our Class A common stock, or otherwise may make it more difficult for certain provisions of the Charter to be amended.</w:t>
      </w:r>
    </w:p>
    <w:p>
      <w:pPr>
        <w:spacing w:after="0" w:line="125"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203" w:lineRule="exact"/>
        <w:rPr>
          <w:sz w:val="20"/>
          <w:szCs w:val="20"/>
          <w:color w:val="auto"/>
        </w:rPr>
      </w:pPr>
    </w:p>
    <w:p>
      <w:pPr>
        <w:ind w:left="1380" w:hanging="655"/>
        <w:spacing w:after="0"/>
        <w:tabs>
          <w:tab w:leader="none" w:pos="1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a board of directors that is divided into three classes with staggered terms;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right of our board of directors to issue preferred stock without stockholder approval;</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restrictions on the right of stockholders to remove directors without cause;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restrictions on the right of stockholders to call special meetings of stockholders.</w:t>
      </w:r>
    </w:p>
    <w:p>
      <w:pPr>
        <w:spacing w:after="0" w:line="158"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231F20"/>
        </w:rPr>
        <w:t>These provisions apply even if the offer may be considered beneficial by some stockholders and could delay or prevent an acquisition that our board of directors determines is not in our and our stockholders’ best interests.</w:t>
      </w:r>
    </w:p>
    <w:p>
      <w:pPr>
        <w:spacing w:after="0" w:line="153"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b w:val="1"/>
          <w:bCs w:val="1"/>
          <w:i w:val="1"/>
          <w:iCs w:val="1"/>
          <w:color w:val="231F20"/>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128"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of the Delaware General Corporation Law (the “DGCL”) or the Charter or our amended and restated bylaws (the “Bylaws”) (in each case, as they may be amended from time to time), or as to which the DGCL confers jurisdiction on the Court of Chancery of the State of Delaware.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 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20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rule or regulation promulgated thereunder (in each case, as amended), or any other claim over which the federal courts have exclusive jurisdiction.</w:t>
      </w:r>
    </w:p>
    <w:p>
      <w:pPr>
        <w:spacing w:after="0" w:line="205"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Lordstown complex is a 640-acre manufacturing facility which we acquired on November 7, 2019. See Part I – Item 1. Business — Key Agreements, Other Alliances and Technology above for additional information about the acquisition and related agreements.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Lordstown complex consists of four main facilities in one location, in addition to multiple support buildings:</w:t>
      </w:r>
    </w:p>
    <w:p>
      <w:pPr>
        <w:ind w:left="60" w:right="179" w:hanging="10"/>
        <w:spacing w:after="0" w:line="236"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Assembly, (2) a Body Shop, (3) Stamping and (4) a Paint Shop. The Lordstown facility has approximately 6.2 million square feet of manufacturing space and is in near-production-ready condition with modern robotics, painting, assembly and stamping equipment and we intend to continue to make retooling investments in order to commence full production of the Endurance. The facility has significant production capacity that we believe will be more than sufficient to support our targeted ramp up for Endurance production over the next several years and provide ample capacity for further growth thereafter as contemplated by the Foxconn Transactions, a potential joint product development agreement and other contemplated transactions with Foxconn. The Lordstown facility also has solar panels on-site, which generate approximately 2.2 megawatts of energy. We are also working towards completing construction on our propulsion production area, which houses production lines for in-wheel motors and lithium-ion battery packs.</w:t>
      </w:r>
    </w:p>
    <w:p>
      <w:pPr>
        <w:spacing w:after="0" w:line="20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part of our acquisition of the Lordstown complex from GM, we were required to accept the plant and all property in “as is — where is” condition, including environmental responsibilities. Prior to entering into the Asset Transfer Agreement with GM, GM completed an investigation and remediation program pursuant to an AOC under the U.S. EPA’s RCRA Corrective Action Program. Upon the U.S. EPA’s approval of GM’s investigation and remediation program, GM placed an environmental covenant on the real property, which requires, among other things, (i) the maintenance of nominal financial assurance, (ii) the limitation of the real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 xml:space="preserve">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facility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an environmental liability policy providing certain coverages up to the amount of $25.0 million as required under the Asset Transfer Agreement. In addition, to mitigate the risk associated with the Ohio EPA’s authority to require future remediation activities at the Lordstown facility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 </w:t>
      </w:r>
      <w:r>
        <w:rPr>
          <w:rFonts w:ascii="Arial" w:cs="Arial" w:eastAsia="Arial" w:hAnsi="Arial"/>
          <w:sz w:val="18"/>
          <w:szCs w:val="18"/>
          <w:color w:val="231F20"/>
        </w:rPr>
        <w:t>Upon closing of the Asset Purchase Agreement, Foxconn would generally assume environmental</w:t>
      </w:r>
      <w:r>
        <w:rPr>
          <w:rFonts w:ascii="Arial" w:cs="Arial" w:eastAsia="Arial" w:hAnsi="Arial"/>
          <w:sz w:val="18"/>
          <w:szCs w:val="18"/>
          <w:color w:val="auto"/>
        </w:rPr>
        <w:t xml:space="preserve"> </w:t>
      </w:r>
      <w:r>
        <w:rPr>
          <w:rFonts w:ascii="Arial" w:cs="Arial" w:eastAsia="Arial" w:hAnsi="Arial"/>
          <w:sz w:val="18"/>
          <w:szCs w:val="18"/>
          <w:color w:val="231F20"/>
        </w:rPr>
        <w:t>liabilities arising from the Lordstown facility; however, we would retain an indemnity obligation for certain undisclosed liabilities known by us or caused by us during our period of ownership.</w:t>
      </w:r>
    </w:p>
    <w:p>
      <w:pPr>
        <w:spacing w:after="0" w:line="20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This facility includes space for engineering, product development, vehicle inspection and benchmarking, as well as labs for testing, validation and prototyping. This facility also houses our purchasing group as well as certain other corporate functions and will remain with the Company following the completion of the APA.</w:t>
      </w:r>
    </w:p>
    <w:p>
      <w:pPr>
        <w:spacing w:after="0" w:line="20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From time to time, we have and may become involved in legal proceedings arising in the ordinary course of business. We record a liability for loss contingencies in the consolidated financial statements when a loss is known or considered probable and the amount can be reasonably estimated. As of December 31, 2021 we have not established accruals or reserves as to most of our proceedings.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 and the outcome of litigation and regulatory proceedings is inherently uncertain. Other than as described below, there is no material pending or threatened litigation against the Company as of the date of this report.</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189"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8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10, 2022, the Court issued a tentative ruling denying Karma’s request for terminating sanctions but ordering Mr. Post and the Company to reimburse Karma for the costs incurred by Karma as a result of Mr. Post’s and the Company’s failure to comply with the Court’s orders, including attorneys’ fees and costs related to the filing of Karma’s motion for sanctions. Karma has yet to file a request for this reimbursement.</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is now scheduled to close on July 5, 2022. There are no other case deadlines or a scheduled trial date at this time. A status conference with the District Court has been set for March 7, 2022, at which time we expect case deadlines and a trial date to be established.</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 al.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their motion to dismiss on November 9, 2021, and plaintiffs filed their opposition on January 17, 2022. The motion to dismiss will be fully briefed by March 3,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213" w:lineRule="exact"/>
        <w:rPr>
          <w:sz w:val="20"/>
          <w:szCs w:val="20"/>
          <w:color w:val="auto"/>
        </w:rPr>
      </w:pPr>
    </w:p>
    <w:p>
      <w:pPr>
        <w:jc w:val="both"/>
        <w:ind w:left="60" w:right="219"/>
        <w:spacing w:after="0"/>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The motion is fully briefed as of December 22, 2021.</w:t>
      </w:r>
    </w:p>
    <w:p>
      <w:pPr>
        <w:spacing w:after="0" w:line="194"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On January 18, 2022, the defendants filed a motion to stay pending resolution of the consolidated securities class action. The parties do not yet have a schedule for briefing the motion to stay or responding to the complaint. A second related stockholder derivative lawsuit was filed in the Delaware Court of Chancery on February 18, 2022 (Jackson v. Burns, et al. (C.A. No. 2022-0164)), also asserting breach of fiduciary duties, unjust enrichment, and insider selling, based on similar facts as the federal derivative actions. The parties do not yet have a schedule for responding to the complaint.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9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December 2, 2020 Detroit Utilities (“DTEL”) filed a complaint with the Trumbull County Common Pleas Court in Warren, Ohio alleging we breached a Utilities Services Agreement due to non-payment for services 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On January 13, 2022, Lordstown filed a Motion to Stay Execution of Judgement. DTEL opposed the motion on January 24, 2022, seeking $2.5 million, plus interest through the date of the court’s order. Lordstown filed a Notice of Appeal on February 7, 2022 and is pursuing settlement discussions and, pending final disposition of the matter, the Company has accrued the judgement amount of $2.5 million as of December 31, 2021.</w:t>
      </w:r>
    </w:p>
    <w:p>
      <w:pPr>
        <w:spacing w:after="0" w:line="20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January 10 and 18, 2022, the defendants filed motions to dismiss these actions. On February 9, 2022, the parties filed a stipulation and proposed order consolidating the two putative class action lawsuits, appointing Hebert and Amin as co-lead plaintiffs, appointing Bernstein Litowitz Berger &amp; Grossmann LLP and Pomerantz LLP as co-lead counsel and setting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briefing schedule for the motions to dismiss and motions to stay. The motions to stay were fully briefed as of February 23, 2022 and are scheduled for oral argument on February 28, 2022. The motions to dismiss will be fully briefed on April 27, 2022 and are scheduled for oral argument on May 10, 2022.</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Class A common stock is currently listed on the Nasdaq Global Select Market under the symbol “RIDE.”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As of February 24, 2022, the shares of Class A common stock issued and outstanding were held of record by approximately 35 holders, which number does not include beneficial owners holding our Class A common stock through nominee names.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 or securities that we issue.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&amp; Analysis of Financial Condition and Results of Operations</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our estimated production timeline, need for additional financing and the risks related to our planned transactions with Foxconn.</w:t>
      </w:r>
    </w:p>
    <w:p>
      <w:pPr>
        <w:spacing w:after="0" w:line="20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electric vehicle (“EV”) innovator focused on developing high-quality light-duty work vehicles.</w:t>
      </w:r>
    </w:p>
    <w:p>
      <w:pPr>
        <w:spacing w:after="0" w:line="95"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We are building pre-production vehicles (“PPV”) for testing, validation, certification, and regulatory approvals during the first half of 2022. Subject to raising sufficient capital, completion of the transactions under the Asset Purchase Agreement with Foxconn (See Part I, Item 1. Business - Foxconn Transactions) and satisfactory completion of testing and receipt of regulatory approvals, we currently expect commercial production and sales of the Endurance to begin in the third quarter of 2022.</w:t>
      </w:r>
    </w:p>
    <w:p>
      <w:pPr>
        <w:spacing w:after="0" w:line="97"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Our current cost of our bill of materials for the Endurance is well above our anticipated selling price. While we expect to achieve cost improvements over time, we do not anticipate reaching a positive gross margin for the foreseeable future. As a result, we will incur significant losses with each vehicle we sell. The primary factor driving the high material costs are our use of prototype components produced from soft tools that are intended for very low volumes. We anticipate allocating substantial capital investment in hard tools that are designed for long term use and higher production volumes. We have identified significant piece price savings from these investments that we anticipate realizing over time. However, no assurances can be made that we will have sufficient capital to make these investments, or our suppliers will be willing or able to manufacture the tools or achieve the lower piece prices. Until such time as we are able to lower the bill of materials cost, we are likely to limit our expected production in order to minimize our losses, which we anticipate to be through 2023 or potentially longer.</w:t>
      </w:r>
    </w:p>
    <w:p>
      <w:pPr>
        <w:spacing w:after="0" w:line="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 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an increase in fixed costs.</w:t>
      </w:r>
    </w:p>
    <w:p>
      <w:pPr>
        <w:spacing w:after="0" w:line="98" w:lineRule="exact"/>
        <w:rPr>
          <w:sz w:val="20"/>
          <w:szCs w:val="20"/>
          <w:color w:val="auto"/>
        </w:rPr>
      </w:pPr>
    </w:p>
    <w:p>
      <w:pPr>
        <w:ind w:left="60" w:right="459"/>
        <w:spacing w:after="0" w:line="238" w:lineRule="auto"/>
        <w:rPr>
          <w:sz w:val="20"/>
          <w:szCs w:val="20"/>
          <w:color w:val="auto"/>
        </w:rPr>
      </w:pPr>
      <w:r>
        <w:rPr>
          <w:rFonts w:ascii="Arial" w:cs="Arial" w:eastAsia="Arial" w:hAnsi="Arial"/>
          <w:sz w:val="18"/>
          <w:szCs w:val="18"/>
          <w:color w:val="auto"/>
        </w:rPr>
        <w:t>We intend to leverage our advanced technologies and highly talented team to develop additional all-electric vehicles targeted for the commercial market. See Part I - Item 1A. Risk Factors for further discussion of the risks associated with the capital required to execute our business plan, the Foxconn Transactions and our production timeline.</w:t>
      </w:r>
    </w:p>
    <w:p>
      <w:pPr>
        <w:spacing w:after="0" w:line="9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the fourth quarter of 2021, we entered into agreements with Foxconn (see Part I, Item 1. Business – Foxconn Transactions), that would result in more than $280 million in funding for the Company, if consummated. We have already received $200 million from Foxconn as of January 28, 2022 in the form of down payments and for the purchase of our Class A common stock. The Foxconn Transactions represent a shift in our business strategy from a fully vertically integrated designer, developer and manufacturer of EVs into a less capital-intensive business focused on developing, engineering, testing and industrializing vehicles in partnership with Foxconn.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connection with the Foxconn Transactions, Foxconn Ohio would purchase the Lordstown facility for $230 million and a reimbursement payment for certain operating and expansion costs incurred by us from September 1, 2021 through the closing. We would continue to own our hub motor assembly line, as well as our battery module and packing line assets, certain intellectual property rights and other excluded assets. We expect to outsource all of the manufacturing of the Endurance to Foxconn with the sale of our Lordstown facility; Foxconn will also operate the assets we continue to own in the facility after closing. The sale of the Lordstown facility would allow us to meaningfully reduce our operating complexity and fixed cost structure by transferring to Foxconn the current and future manufacturing employees along with fixed overhead costs, such as maintenance, utilities, insurance and more. We believe that outsourcing our manufacturing to a highly qualified partner would enable us to leverage Foxconn’s technology, supply chain network and expertise to accelerate the launch of current and future vehicle programs. Furthermore, we believe we would realize the benefits of scaled manufacturing sooner as Foxconn contracts with other OEMs to produce their vehicles in the Lordstown facility.</w:t>
      </w:r>
    </w:p>
    <w:p>
      <w:pPr>
        <w:spacing w:after="0" w:line="9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We are also exploring other potential agreements with Foxconn that would establish a joint product development agreement for future MIH-based vehicles and an appropriate funding structure. See Part I Item 1 – Business – Foxconn Transactions and Part I - Item 1A. Risk Factors for further discussion of the risks associated with the Foxconn Transactions and our capital needs, among other risks.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 ended December 31, 2021 to December 31, 2020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w:t>
            </w: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70,966</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102,283</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(102,283)</w:t>
            </w: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income (expense)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shd w:val="clear" w:color="auto" w:fill="CCEEFF"/>
          </w:tcPr>
          <w:p>
            <w:pPr>
              <w:ind w:left="5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Selling, general and administrative expenses (“SG&amp;A”) generally consist of personnel and facilities costs related to marketing, sales, executive, finance, human resources, information technology and legal organizations, as well as fees for certain professional and contract services.</w:t>
      </w:r>
    </w:p>
    <w:p>
      <w:pPr>
        <w:spacing w:after="0" w:line="20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SG&amp;A increased from $31.3 million for the year ended December 31, 2020 to $105.4 million for the year ended December 31, 2021 primarily due to a $21.3 million increase in personnel costs and $43.5 million increase in legal and insurance costs. Our legal costs have risen due to ongoing litigation and government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19"/>
        <w:spacing w:after="0" w:line="274" w:lineRule="auto"/>
        <w:rPr>
          <w:sz w:val="20"/>
          <w:szCs w:val="20"/>
          <w:color w:val="auto"/>
        </w:rPr>
      </w:pPr>
      <w:r>
        <w:rPr>
          <w:rFonts w:ascii="Arial" w:cs="Arial" w:eastAsia="Arial" w:hAnsi="Arial"/>
          <w:sz w:val="17"/>
          <w:szCs w:val="17"/>
          <w:color w:val="auto"/>
        </w:rPr>
        <w:t>investigations. Insurance costs have increased due primarily to higher pricing and expanded coverages, including director and officer policies and coverage on new investments made in the Lordstown facility.</w:t>
      </w:r>
    </w:p>
    <w:p>
      <w:pPr>
        <w:spacing w:after="0" w:line="175" w:lineRule="exact"/>
        <w:rPr>
          <w:sz w:val="20"/>
          <w:szCs w:val="20"/>
          <w:color w:val="auto"/>
        </w:rPr>
      </w:pPr>
    </w:p>
    <w:p>
      <w:pPr>
        <w:jc w:val="both"/>
        <w:ind w:left="60" w:right="399"/>
        <w:spacing w:after="0" w:line="261" w:lineRule="auto"/>
        <w:rPr>
          <w:sz w:val="20"/>
          <w:szCs w:val="20"/>
          <w:color w:val="auto"/>
        </w:rPr>
      </w:pPr>
      <w:r>
        <w:rPr>
          <w:rFonts w:ascii="Arial" w:cs="Arial" w:eastAsia="Arial" w:hAnsi="Arial"/>
          <w:sz w:val="17"/>
          <w:szCs w:val="17"/>
          <w:color w:val="auto"/>
        </w:rPr>
        <w:t>Research &amp; Development (R&amp;D) expenses consist primarily of personnel costs for our teams in engineering and research, manufacturing and test organizations, prototype components, as well as contract and outside engineering services to support the development, engineering and testing of beta and PPV vehicles.</w:t>
      </w:r>
    </w:p>
    <w:p>
      <w:pPr>
        <w:spacing w:after="0" w:line="186"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R&amp;D increased from $71.0 million for the year ended December 31, 2020 to $284.0 million for the year ended December 31, 2021 primarily due to increases of $101.9 million and $86.7 million in personnel and consulting costs and prototype component costs, respectively.</w:t>
      </w:r>
    </w:p>
    <w:p>
      <w:pPr>
        <w:spacing w:after="0" w:line="203"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 technologies we would use in future vehicles. Given the lack of Workhorse technology used in the Endurance and the current management’s strategic direction of the Company, inclusive of the transactions contemplated with Foxconn, we deemed it appropriate to change the useful life of the technology we acquired from Workhorse to zero months. As such, we recorded accelerated amortization of $11.1 million during the year ended December 31, 2021.</w:t>
      </w:r>
    </w:p>
    <w:p>
      <w:pPr>
        <w:spacing w:after="0" w:line="205"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Other expense in the year ended December 31, 2021 and 2020 mainly consisted of changes in fair value of Warrants.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4" w:lineRule="exact"/>
        <w:rPr>
          <w:sz w:val="20"/>
          <w:szCs w:val="20"/>
          <w:color w:val="auto"/>
        </w:rPr>
      </w:pPr>
    </w:p>
    <w:p>
      <w:pPr>
        <w:ind w:left="60" w:right="159"/>
        <w:spacing w:after="0" w:line="251" w:lineRule="auto"/>
        <w:rPr>
          <w:sz w:val="20"/>
          <w:szCs w:val="20"/>
          <w:color w:val="auto"/>
        </w:rPr>
      </w:pPr>
      <w:r>
        <w:rPr>
          <w:rFonts w:ascii="Arial" w:cs="Arial" w:eastAsia="Arial" w:hAnsi="Arial"/>
          <w:sz w:val="17"/>
          <w:szCs w:val="17"/>
          <w:color w:val="auto"/>
        </w:rPr>
        <w:t>Our business plan contemplates that we will build a limited number of pre-production vehicles in the first half of 2022 for testing, certification and to demonstrate the capabilities of the Endurance to potential customers. We expect commercial production and sales to begin in the third quarter of 2022. While conducting these activities, and for the foreseeable future, we will incur significant operating expenses, capital expenditures and working capital funding that will deplete our cash on hand. Absent any material delays, we anticipate that we have sufficient funds to close the Foxconn Transactions and receive the proceeds as contemplated by the Asset Purchase Agreement. However, we will be required to raise additional capital in order to execute our business plan well in advance of reaching commercial production of the Endurance. The proceeds contemplated in the Asset Purchase Agreement will not be sufficient for these purposes. In addition, the closing of the APA remains subject to certain conditions, and if the transaction does not close, we will be required to repay the down payments made by Foxconn and it is unlikely we will have funding available to do so.</w:t>
      </w:r>
    </w:p>
    <w:p>
      <w:pPr>
        <w:spacing w:after="0" w:line="195"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In 2021, our research and development expenses and capital expenditures increased significantly over 2020 levels to build capacity and invest in the development of the Endurance. The costs are significant due to spending needed for prototype components, vehicle validation tests, securing necessary parts/equipment, and utilizing in-house and third-party engineering services. Increased spending was also due in part to the stress that the COVID-19 pandemic put on the global automotive supply chain and a strategic decision to bring development of certain components, such as the frame of the Endurance, in-house. We expect continued supply chain constraints and pricing pressure that may negatively impact our cost structure and production timeline. See Part I - Item 1A. Risk Factors for further discussion of the risks associated with disruptions to the supply chain.</w:t>
      </w:r>
    </w:p>
    <w:p>
      <w:pPr>
        <w:spacing w:after="0" w:line="207"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In addition, in order to secure adequate supply of battery cells, we have an agreement with a certain supplier that obligates us to purchase a minimum volume estimated to be $16.3 million in 2022, subject to change for fluctuations in raw material pricing.</w:t>
      </w:r>
    </w:p>
    <w:p>
      <w:pPr>
        <w:spacing w:after="0" w:line="20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20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had cash and cash equivalents of approximately $244.0 million as of December 31, 2021, an accumulated deficit of $ 544.8 million at December 31, 2021 and a net loss of $ 410.4 million for the year ended December 31, 2021. Our ability to continue as a going concern is dependent on our ability to raise the necessary capital, complete the development of our electric vehicles, obtain regulatory approval, begin commercial scale production and launch the sale of such vehicles.</w:t>
      </w:r>
    </w:p>
    <w:p>
      <w:pPr>
        <w:spacing w:after="0" w:line="202" w:lineRule="exact"/>
        <w:rPr>
          <w:sz w:val="20"/>
          <w:szCs w:val="20"/>
          <w:color w:val="auto"/>
        </w:rPr>
      </w:pPr>
    </w:p>
    <w:p>
      <w:pPr>
        <w:ind w:left="60" w:right="559"/>
        <w:spacing w:after="0" w:line="238" w:lineRule="auto"/>
        <w:rPr>
          <w:sz w:val="20"/>
          <w:szCs w:val="20"/>
          <w:color w:val="auto"/>
        </w:rPr>
      </w:pPr>
      <w:r>
        <w:rPr>
          <w:rFonts w:ascii="Arial" w:cs="Arial" w:eastAsia="Arial" w:hAnsi="Arial"/>
          <w:sz w:val="18"/>
          <w:szCs w:val="18"/>
          <w:color w:val="auto"/>
        </w:rPr>
        <w:t>We believe that our current level of cash and cash equivalents is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report.</w:t>
      </w:r>
    </w:p>
    <w:p>
      <w:pPr>
        <w:spacing w:after="0" w:line="20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In an effort to alleviate these conditions, management continues to seek and evaluate opportunities to raise additional funds through the issuance of equity or debt securities, asset sales, arrangements with strategic partners or through obtaining financing from government or financial institutions. We have engaged a financial advisor to advise the Company on additional financing alternatives.</w:t>
      </w:r>
    </w:p>
    <w:p>
      <w:pPr>
        <w:spacing w:after="0" w:line="20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part of our funding efforts, on July 23, 2021, the Company entered into the Equity Purchase Agreement with YA, pursuant to which YA has committed to purchase up to $400 million of our Class A common stock, at our direction from time to time, subject to the satisfaction of certain conditions. During the year ended December 31, 2021, we issued 9.6 million shares to YA and received $49.4 million cash, net of equity issuance costs.</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actual amount that we raise under the Equity Purchase Agreement will depend on market conditions and other financing alternatives that we are exploring, as well as limitations in the agreement. In particular, at current market prices of our shares of Class A common stock, without stockholder approval, the Exchange Cap provision would limit the amount of shares we can issue to 35.1 million shares, and therefore limit funds we are able to raise to significantly less than the $400 million commitment under the Equity Purchase Agreement. As of December 31, 2021, we were in compliance with the terms and conditions of the Equity Purchase Agreement and the remaining availability under the Equity Purchase Agreement was $350 million which is subject to certain limitations as described above and in Note 7 of the consolidated financial statements.</w:t>
      </w:r>
    </w:p>
    <w:p>
      <w:pPr>
        <w:spacing w:after="0" w:line="20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November 10, 2021, we entered into the APA with Foxconn, pursuant to which Foxconn would purchase the Lordstown facility for $230 million and a reimbursement payment for certain operating and expansion costs incurred by us from September 1, 2021 through the closing. We would continue to own our hub motor assembly line, as well as our battery module and packing line assets, certain intellectual property rights and other excluded assets. Foxconn has made down payments of the purchase price of $100 million on November 18, 2021 and $50 million on January 28, 2022. Foxconn is required to make an additional down payment of $50 million no later than April 15, 2022, subject to certain conditions. The balance of the purchase price, along with reimbursement of certain operating and expansion costs would be paid at closing. We are required to maintain minimum cash balances of $50 million through March 1, 2022 and $30 million thereafter. In connection with the closing, the Company will issue warrants to Foxconn that are exercisable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until the third anniversary of the closing for 1.7 million shares of Class A common stock at an exercise price of $10.50 per share.</w:t>
      </w:r>
    </w:p>
    <w:p>
      <w:pPr>
        <w:spacing w:after="0" w:line="19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 The APA is subject to several conditions and has not been consummated as of the date of the filing of this report. No assurance can be made that it will ultimately be consummated on the terms contemplated, or at all.</w:t>
      </w:r>
    </w:p>
    <w:p>
      <w:pPr>
        <w:spacing w:after="0" w:line="205"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We are also exploring other potential agreements with Foxconn that would establish a joint product development agreement for future MIH-based vehicles and an appropriate funding structure. No assurance can be made that the joint product development agreement, an appropriate funding structure or other potential agreements would ultimately be entered or consummated on the terms contemplated, or at all.</w:t>
      </w:r>
    </w:p>
    <w:p>
      <w:pPr>
        <w:spacing w:after="0" w:line="203"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See Part I Item 1 – Business – Foxconn Transactions and Part I - Item 1A. Risk Factors for further discussion of the risks associated with the Foxconn Transactions and other agreements being contemplated, including a joint product development agreement, and our capital needs, among other risks. Even if the Foxconn Transactions are consummated in accordance with the current terms and on the anticipated timeline, we will need additional funding to continue our development efforts and maintain current plans for our production timeline.</w:t>
      </w:r>
    </w:p>
    <w:p>
      <w:pPr>
        <w:spacing w:after="0" w:line="19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and are currently in the due diligence phase. If we are successful in completing this stage, we may receive a term sheet, but we cannot guarantee we will reach that stage or be approved for a loan or provide any assurance as to the amount or timing of any loan that we may receive. We have been informed that an ATVM loan would likely be secured by a first priority lien on our assets. In the near term, we do not believe that we would be able to satisfy the conditions to obtain an ATVM loan, including the requirement to demonstrate our viability as a company.</w:t>
      </w:r>
    </w:p>
    <w:p>
      <w:pPr>
        <w:spacing w:after="0" w:line="20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related to ongoing litigation and the SEC investigation, our performance and investor sentiment with respect to us and our business and industry, as well as our pending transaction with Foxconn. As a result of these uncertainties, and notwithstanding management’s plans and efforts to date, there continues to be substantial doubt about our ability to continue as a going concern.</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 xml:space="preserve">If we are unable to raise </w:t>
      </w:r>
      <w:r>
        <w:rPr>
          <w:rFonts w:ascii="Arial" w:cs="Arial" w:eastAsia="Arial" w:hAnsi="Arial"/>
          <w:sz w:val="18"/>
          <w:szCs w:val="18"/>
          <w:color w:val="231F20"/>
        </w:rPr>
        <w:t>substantial</w:t>
      </w:r>
      <w:r>
        <w:rPr>
          <w:rFonts w:ascii="Arial" w:cs="Arial" w:eastAsia="Arial" w:hAnsi="Arial"/>
          <w:sz w:val="18"/>
          <w:szCs w:val="18"/>
          <w:color w:val="auto"/>
        </w:rPr>
        <w:t xml:space="preserve"> additional capital in the near term</w:t>
      </w:r>
      <w:r>
        <w:rPr>
          <w:rFonts w:ascii="Arial" w:cs="Arial" w:eastAsia="Arial" w:hAnsi="Arial"/>
          <w:sz w:val="18"/>
          <w:szCs w:val="18"/>
          <w:color w:val="231F20"/>
        </w:rPr>
        <w:t>, our operations and production plans will</w:t>
      </w:r>
      <w:r>
        <w:rPr>
          <w:rFonts w:ascii="Arial" w:cs="Arial" w:eastAsia="Arial" w:hAnsi="Arial"/>
          <w:sz w:val="18"/>
          <w:szCs w:val="18"/>
          <w:color w:val="auto"/>
        </w:rPr>
        <w:t xml:space="preserve"> </w:t>
      </w:r>
      <w:r>
        <w:rPr>
          <w:rFonts w:ascii="Arial" w:cs="Arial" w:eastAsia="Arial" w:hAnsi="Arial"/>
          <w:sz w:val="18"/>
          <w:szCs w:val="18"/>
          <w:color w:val="231F20"/>
        </w:rPr>
        <w:t xml:space="preserve">be scaled back or curtailed and, if any funds raised are insufficient to provide a bridge to full commercial production, our operations could be severely curtailed or cease entirely. </w:t>
      </w:r>
      <w:r>
        <w:rPr>
          <w:rFonts w:ascii="Arial" w:cs="Arial" w:eastAsia="Arial" w:hAnsi="Arial"/>
          <w:sz w:val="18"/>
          <w:szCs w:val="18"/>
          <w:color w:val="000000"/>
        </w:rPr>
        <w:t>We will be materially adversely affected</w:t>
      </w:r>
      <w:r>
        <w:rPr>
          <w:rFonts w:ascii="Arial" w:cs="Arial" w:eastAsia="Arial" w:hAnsi="Arial"/>
          <w:sz w:val="18"/>
          <w:szCs w:val="18"/>
          <w:color w:val="231F20"/>
        </w:rPr>
        <w:t xml:space="preserve"> </w:t>
      </w:r>
      <w:r>
        <w:rPr>
          <w:rFonts w:ascii="Arial" w:cs="Arial" w:eastAsia="Arial" w:hAnsi="Arial"/>
          <w:sz w:val="18"/>
          <w:szCs w:val="18"/>
          <w:color w:val="000000"/>
        </w:rPr>
        <w:t>if the Foxconn Transactions do not close. If the APA does not close, including because we are unable to fulfill our obligations to maintain our minimum cash balance commitments under the APA,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spacing w:after="0" w:line="246" w:lineRule="auto"/>
        <w:rPr>
          <w:sz w:val="20"/>
          <w:szCs w:val="20"/>
          <w:color w:val="auto"/>
        </w:rPr>
      </w:pPr>
      <w:r>
        <w:rPr>
          <w:rFonts w:ascii="Arial" w:cs="Arial" w:eastAsia="Arial" w:hAnsi="Arial"/>
          <w:sz w:val="18"/>
          <w:szCs w:val="18"/>
          <w:color w:val="auto"/>
        </w:rPr>
        <w:t>See Part I - Item 1A. Risk Factors for further discussion of the risks associated with our need for additional financing.</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77"/>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57"/>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3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by operating activities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(99,596)</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Cash used by investing activities</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(285,514)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(50,249)</w:t>
            </w: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287,759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777,447</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6"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Our cash flows from operating activities are significantly affected by our cash investments to support the continuation and growth of our business in areas such as research and development and selling, general and administrative expenses.</w:t>
      </w:r>
    </w:p>
    <w:p>
      <w:pPr>
        <w:spacing w:after="0" w:line="18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Net cash used in operating activities increased to $388.0 million during the year ended December 31, 2021 compared to $99.6 million for the year ended December 31, 2020. This increase was primarily due to increases in our net operating loss.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Investing Activities</w:t>
      </w:r>
    </w:p>
    <w:p>
      <w:pPr>
        <w:spacing w:after="0" w:line="19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net cash used in investing activities increased to $285.5 million for the year ended December 31, 2021 compared to $50.2 million for the year ended December 31, 2020. This increase was primarily due to purchases of capital assets related to the Lordstown facility re-tooling in preparation for the manufacturing of the Endurance pickup truck, along with other investments in IT hardware and infrastructure to support the long-term needs of the Company.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Financing Activities</w:t>
      </w:r>
    </w:p>
    <w:p>
      <w:pPr>
        <w:spacing w:after="0" w:line="19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Cash flows from financing activities during the year ended December 31, 2021 was $287.8 million compared to $777.4 million for the year ended December 31, 2020. Cash flows from financing activities during the year ended December 31, 2021 consisted primarily of $100 million down payment from Foxconn, $50 million from the Subscription Agreement with Foxconn, $82 million in proceeds from the exercise of warrants and $49.4 million from sales under the Equity Purchase Agreement, net of issuance costs. Cash flows from financing activities during the year ended December 31, 2020 consisted primarily of $701.5 million from cash received in recapitalization, net of transaction costs, $38.8 million from notes payable and $30.7 million from shares issued for exercise warrants.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financial statements have been prepared on a going concern basis of accounting, which contemplates continuity of operations, realization of assets and liabilities and commitments in the normal course of business. The accompanying financial statements do not reflect any adjustments that might result if the Company is unable to continue as a going concern. In connection with the preparation of the consolidated financial statements for the years ended December 31, 2021 and 2020,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years ended December 31, 2021 and 2020, expressed substantial doubt about our ability to continue as a going concern.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to the consolidated financial statements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234"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31, 2021, we had cash and cash equivalents of approximately $244.0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Table of Contents</w:t>
              </w:r>
            </w:hyperlink>
          </w:p>
        </w:tc>
        <w:tc>
          <w:tcPr>
            <w:tcW w:w="688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8280" w:type="dxa"/>
            <w:vAlign w:val="bottom"/>
            <w:gridSpan w:val="14"/>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11"/>
          </w:tcPr>
          <w:p>
            <w:pPr>
              <w:jc w:val="center"/>
              <w:ind w:right="800"/>
              <w:spacing w:after="0"/>
              <w:rPr>
                <w:sz w:val="20"/>
                <w:szCs w:val="20"/>
                <w:color w:val="auto"/>
              </w:rPr>
            </w:pPr>
            <w:r>
              <w:rPr>
                <w:rFonts w:ascii="Arial" w:cs="Arial" w:eastAsia="Arial" w:hAnsi="Arial"/>
                <w:sz w:val="18"/>
                <w:szCs w:val="18"/>
                <w:b w:val="1"/>
                <w:bCs w:val="1"/>
                <w:color w:val="auto"/>
                <w:w w:val="98"/>
              </w:rPr>
              <w:t>LORDSTOWN MOTORS CORP.</w:t>
            </w:r>
          </w:p>
        </w:tc>
        <w:tc>
          <w:tcPr>
            <w:tcW w:w="6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11"/>
          </w:tcPr>
          <w:p>
            <w:pPr>
              <w:jc w:val="center"/>
              <w:ind w:right="800"/>
              <w:spacing w:after="0"/>
              <w:rPr>
                <w:sz w:val="20"/>
                <w:szCs w:val="20"/>
                <w:color w:val="auto"/>
              </w:rPr>
            </w:pPr>
            <w:r>
              <w:rPr>
                <w:rFonts w:ascii="Arial" w:cs="Arial" w:eastAsia="Arial" w:hAnsi="Arial"/>
                <w:sz w:val="18"/>
                <w:szCs w:val="18"/>
                <w:b w:val="1"/>
                <w:bCs w:val="1"/>
                <w:color w:val="auto"/>
                <w:w w:val="99"/>
              </w:rPr>
              <w:t>INDEX TO FINANCIAL STATEMENTS</w:t>
            </w:r>
          </w:p>
        </w:tc>
        <w:tc>
          <w:tcPr>
            <w:tcW w:w="6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 w:type="dxa"/>
            <w:vAlign w:val="bottom"/>
          </w:tcPr>
          <w:p>
            <w:pPr>
              <w:spacing w:after="0"/>
              <w:rPr>
                <w:sz w:val="15"/>
                <w:szCs w:val="15"/>
                <w:color w:val="auto"/>
              </w:rPr>
            </w:pPr>
          </w:p>
        </w:tc>
        <w:tc>
          <w:tcPr>
            <w:tcW w:w="8280" w:type="dxa"/>
            <w:vAlign w:val="bottom"/>
            <w:gridSpan w:val="14"/>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185*)</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183"/>
        </w:trPr>
        <w:tc>
          <w:tcPr>
            <w:tcW w:w="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Report of Independent Registered Public Accounting Firm</w:t>
              </w:r>
            </w:hyperlink>
          </w:p>
        </w:tc>
        <w:tc>
          <w:tcPr>
            <w:tcW w:w="20" w:type="dxa"/>
            <w:vAlign w:val="bottom"/>
            <w:tcBorders>
              <w:top w:val="single" w:sz="8" w:color="0000EE"/>
            </w:tcBorders>
          </w:tcPr>
          <w:p>
            <w:pPr>
              <w:spacing w:after="0"/>
              <w:rPr>
                <w:sz w:val="15"/>
                <w:szCs w:val="15"/>
                <w:color w:val="auto"/>
              </w:rPr>
            </w:pPr>
          </w:p>
        </w:tc>
        <w:tc>
          <w:tcPr>
            <w:tcW w:w="3660" w:type="dxa"/>
            <w:vAlign w:val="bottom"/>
            <w:gridSpan w:val="8"/>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9"/>
        </w:trPr>
        <w:tc>
          <w:tcPr>
            <w:tcW w:w="20" w:type="dxa"/>
            <w:vAlign w:val="bottom"/>
          </w:tcPr>
          <w:p>
            <w:pPr>
              <w:spacing w:after="0"/>
              <w:rPr>
                <w:sz w:val="18"/>
                <w:szCs w:val="18"/>
                <w:color w:val="auto"/>
              </w:rPr>
            </w:pPr>
          </w:p>
        </w:tc>
        <w:tc>
          <w:tcPr>
            <w:tcW w:w="82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4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Consolidated Balance Sheets as of December 31, 2021 and 2020</w:t>
              </w:r>
            </w:hyperlink>
          </w:p>
        </w:tc>
        <w:tc>
          <w:tcPr>
            <w:tcW w:w="2400" w:type="dxa"/>
            <w:vAlign w:val="bottom"/>
            <w:gridSpan w:val="5"/>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40" w:type="dxa"/>
            <w:vAlign w:val="bottom"/>
            <w:gridSpan w:val="13"/>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 for the years ended December 31, 2021 and 2020 and</w:t>
              </w:r>
            </w:hyperlink>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for the period from April 30, 2019 to December 31, 2019</w:t>
              </w:r>
            </w:hyperlink>
          </w:p>
        </w:tc>
        <w:tc>
          <w:tcPr>
            <w:tcW w:w="3060" w:type="dxa"/>
            <w:vAlign w:val="bottom"/>
            <w:tcBorders>
              <w:top w:val="single" w:sz="8" w:color="0000EE"/>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3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Consolidated Statements of Stockholders’ Equity for the year ended December 31, 2021 and</w:t>
              </w:r>
            </w:hyperlink>
          </w:p>
        </w:tc>
        <w:tc>
          <w:tcPr>
            <w:tcW w:w="260" w:type="dxa"/>
            <w:vAlign w:val="bottom"/>
            <w:gridSpan w:val="3"/>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2020 and for the period from April 30, 2019 to December 31, 2019</w:t>
              </w:r>
            </w:hyperlink>
          </w:p>
        </w:tc>
        <w:tc>
          <w:tcPr>
            <w:tcW w:w="238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5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Consolidated Statements of Cash Flows for the year ended December 31, 2021 and 2020 and</w:t>
              </w:r>
            </w:hyperlink>
          </w:p>
        </w:tc>
        <w:tc>
          <w:tcPr>
            <w:tcW w:w="140" w:type="dxa"/>
            <w:vAlign w:val="bottom"/>
            <w:gridSpan w:val="2"/>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40" w:type="dxa"/>
            <w:vAlign w:val="bottom"/>
            <w:gridSpan w:val="13"/>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for the period from April 30, 2019 to December 31 2019</w:t>
              </w:r>
            </w:hyperlink>
          </w:p>
        </w:tc>
        <w:tc>
          <w:tcPr>
            <w:tcW w:w="6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3240" w:type="dxa"/>
            <w:vAlign w:val="bottom"/>
            <w:gridSpan w:val="7"/>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073"/>
        </w:trPr>
        <w:tc>
          <w:tcPr>
            <w:tcW w:w="680" w:type="dxa"/>
            <w:vAlign w:val="bottom"/>
            <w:gridSpan w:val="3"/>
          </w:tcPr>
          <w:p>
            <w:pPr>
              <w:spacing w:after="0"/>
              <w:rPr>
                <w:sz w:val="24"/>
                <w:szCs w:val="24"/>
                <w:color w:val="auto"/>
              </w:rPr>
            </w:pPr>
          </w:p>
        </w:tc>
        <w:tc>
          <w:tcPr>
            <w:tcW w:w="3480" w:type="dxa"/>
            <w:vAlign w:val="bottom"/>
            <w:tcBorders>
              <w:top w:val="single" w:sz="8" w:color="0000EE"/>
            </w:tcBorders>
            <w:gridSpan w:val="2"/>
          </w:tcPr>
          <w:p>
            <w:pPr>
              <w:spacing w:after="0"/>
              <w:rPr>
                <w:sz w:val="24"/>
                <w:szCs w:val="24"/>
                <w:color w:val="auto"/>
              </w:rPr>
            </w:pP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9"/>
              </w:rPr>
              <w:t>62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w:t>
      </w:r>
    </w:p>
    <w:p>
      <w:pPr>
        <w:ind w:left="60"/>
        <w:spacing w:after="0"/>
        <w:rPr>
          <w:sz w:val="20"/>
          <w:szCs w:val="20"/>
          <w:color w:val="auto"/>
        </w:rPr>
      </w:pPr>
      <w:r>
        <w:rPr>
          <w:rFonts w:ascii="Arial" w:cs="Arial" w:eastAsia="Arial" w:hAnsi="Arial"/>
          <w:sz w:val="18"/>
          <w:szCs w:val="18"/>
          <w:color w:val="auto"/>
        </w:rPr>
        <w:t>Lordstown Motors Corp.:</w:t>
      </w:r>
    </w:p>
    <w:p>
      <w:pPr>
        <w:spacing w:after="0" w:line="176" w:lineRule="exact"/>
        <w:rPr>
          <w:sz w:val="20"/>
          <w:szCs w:val="20"/>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Opinion on the Consolidated Financial Statements</w:t>
      </w:r>
    </w:p>
    <w:p>
      <w:pPr>
        <w:spacing w:after="0" w:line="234" w:lineRule="exact"/>
        <w:rPr>
          <w:sz w:val="20"/>
          <w:szCs w:val="20"/>
          <w:color w:val="auto"/>
        </w:rPr>
      </w:pPr>
    </w:p>
    <w:p>
      <w:pPr>
        <w:ind w:left="60" w:right="279"/>
        <w:spacing w:after="0" w:line="253" w:lineRule="auto"/>
        <w:rPr>
          <w:sz w:val="20"/>
          <w:szCs w:val="20"/>
          <w:color w:val="auto"/>
        </w:rPr>
      </w:pPr>
      <w:r>
        <w:rPr>
          <w:rFonts w:ascii="Arial" w:cs="Arial" w:eastAsia="Arial" w:hAnsi="Arial"/>
          <w:sz w:val="17"/>
          <w:szCs w:val="17"/>
          <w:color w:val="auto"/>
        </w:rPr>
        <w:t>We have audited the accompanying consolidated balance sheets of Lordstown Motors Corp. and subsidiaries (the Company) as of December 31, 2021 and 2020, the related consolidated statements of operations, stockholders’ equity, and cash flows for each of the years in the two-year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two-year period ended December 31, 2021, in conformity with U.S. generally accepted accounting principles.</w:t>
      </w:r>
    </w:p>
    <w:p>
      <w:pPr>
        <w:spacing w:after="0" w:line="17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28, 2022 expressed an adverse opinion on the effectiveness of the Company’s internal control over financial reporting.</w:t>
      </w:r>
    </w:p>
    <w:p>
      <w:pPr>
        <w:spacing w:after="0" w:line="167"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Going Concern</w:t>
      </w:r>
    </w:p>
    <w:p>
      <w:pPr>
        <w:spacing w:after="0" w:line="23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does not have sufficient liquidity to fund commercial scale production and the launch of sale of its electric vehicles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9"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Accounting Principle</w:t>
      </w:r>
    </w:p>
    <w:p>
      <w:pPr>
        <w:spacing w:after="0" w:line="234" w:lineRule="exact"/>
        <w:rPr>
          <w:sz w:val="20"/>
          <w:szCs w:val="20"/>
          <w:color w:val="auto"/>
        </w:rPr>
      </w:pPr>
    </w:p>
    <w:p>
      <w:pPr>
        <w:ind w:left="60" w:right="499"/>
        <w:spacing w:after="0"/>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2021 due to the adoption of Accounting Standards Update 2016-02, Leases (ASC Topic 842).</w:t>
      </w:r>
    </w:p>
    <w:p>
      <w:pPr>
        <w:spacing w:after="0" w:line="167"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made by management, as well as evaluating the overall presentation of the consolidated financial statements.</w:t>
      </w:r>
    </w:p>
    <w:p>
      <w:pPr>
        <w:ind w:left="60"/>
        <w:spacing w:after="0"/>
        <w:rPr>
          <w:sz w:val="20"/>
          <w:szCs w:val="20"/>
          <w:color w:val="auto"/>
        </w:rPr>
      </w:pPr>
      <w:r>
        <w:rPr>
          <w:rFonts w:ascii="Arial" w:cs="Arial" w:eastAsia="Arial" w:hAnsi="Arial"/>
          <w:sz w:val="18"/>
          <w:szCs w:val="18"/>
          <w:color w:val="auto"/>
        </w:rPr>
        <w:t>We believe that our audits provide a reasonable basis for our opinion.</w:t>
      </w:r>
    </w:p>
    <w:p>
      <w:pPr>
        <w:spacing w:after="0" w:line="176"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Audit Matter</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ind w:left="700" w:hanging="32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Sufficiency of audit evidence</w:t>
      </w:r>
    </w:p>
    <w:p>
      <w:pPr>
        <w:spacing w:after="0" w:line="230" w:lineRule="exact"/>
        <w:rPr>
          <w:sz w:val="20"/>
          <w:szCs w:val="20"/>
          <w:color w:val="auto"/>
        </w:rPr>
      </w:pPr>
    </w:p>
    <w:p>
      <w:pPr>
        <w:ind w:left="380" w:right="59"/>
        <w:spacing w:after="0" w:line="236" w:lineRule="auto"/>
        <w:rPr>
          <w:sz w:val="20"/>
          <w:szCs w:val="20"/>
          <w:color w:val="auto"/>
        </w:rPr>
      </w:pPr>
      <w:r>
        <w:rPr>
          <w:rFonts w:ascii="Arial" w:cs="Arial" w:eastAsia="Arial" w:hAnsi="Arial"/>
          <w:sz w:val="18"/>
          <w:szCs w:val="18"/>
          <w:color w:val="auto"/>
        </w:rPr>
        <w:t>As of December 31, 2021, a material weakness was identified and included in management’s assessment. The description of the material weakness states that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 As of December 31, 2020, material weaknesses were identified and included in management’s assessment. The description of the material weaknesses stated that the Company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manual journal entries).</w:t>
      </w:r>
    </w:p>
    <w:p>
      <w:pPr>
        <w:spacing w:after="0" w:line="180" w:lineRule="exact"/>
        <w:rPr>
          <w:sz w:val="20"/>
          <w:szCs w:val="20"/>
          <w:color w:val="auto"/>
        </w:rPr>
      </w:pPr>
    </w:p>
    <w:p>
      <w:pPr>
        <w:ind w:left="380" w:right="459"/>
        <w:spacing w:after="0"/>
        <w:rPr>
          <w:sz w:val="20"/>
          <w:szCs w:val="20"/>
          <w:color w:val="auto"/>
        </w:rPr>
      </w:pPr>
      <w:r>
        <w:rPr>
          <w:rFonts w:ascii="Arial" w:cs="Arial" w:eastAsia="Arial" w:hAnsi="Arial"/>
          <w:sz w:val="18"/>
          <w:szCs w:val="18"/>
          <w:color w:val="auto"/>
        </w:rPr>
        <w:t>We identified the evaluation of the sufficiency of audit evidence as a critical audit matter. Evaluating the sufficiency of audit evidence obtained required especially subjective auditor judgment because of the pervasiveness of the material weaknesses noted above.</w:t>
      </w:r>
    </w:p>
    <w:p>
      <w:pPr>
        <w:spacing w:after="0" w:line="162" w:lineRule="exact"/>
        <w:rPr>
          <w:sz w:val="20"/>
          <w:szCs w:val="20"/>
          <w:color w:val="auto"/>
        </w:rPr>
      </w:pPr>
    </w:p>
    <w:p>
      <w:pPr>
        <w:ind w:left="380" w:right="99"/>
        <w:spacing w:after="0" w:line="236"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plan the nature, timing, and extent of our audit procedures to be performed over financial statement account balances. We evaluated our scoping thresholds and control risk assessments considering the material weaknesses noted above. We obtained and inspected the Company’s remediation plan to address the prior year material weaknesses that had been identified. We increased the number of sample selections compared to what we would have otherwise made if the Company’s controls were designed and operating effectively. For a selection of manual and automated journal entries, we inspected supporting documentation and evidence of authorization. We evaluated the sufficiency of audit evidence obtained by assessing the results of procedures performed, including the appropriateness of the nature and extent of such evidence.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ind w:left="60"/>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w:t>
      </w:r>
    </w:p>
    <w:p>
      <w:pPr>
        <w:ind w:left="60"/>
        <w:spacing w:after="0"/>
        <w:rPr>
          <w:sz w:val="20"/>
          <w:szCs w:val="20"/>
          <w:color w:val="auto"/>
        </w:rPr>
      </w:pPr>
      <w:r>
        <w:rPr>
          <w:rFonts w:ascii="Arial" w:cs="Arial" w:eastAsia="Arial" w:hAnsi="Arial"/>
          <w:sz w:val="18"/>
          <w:szCs w:val="18"/>
          <w:color w:val="auto"/>
        </w:rPr>
        <w:t>Lordstown Motors Corp.:</w:t>
      </w:r>
    </w:p>
    <w:p>
      <w:pPr>
        <w:spacing w:after="0" w:line="176"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Opinion on Internal Control Over Financial Reporting</w:t>
      </w:r>
    </w:p>
    <w:p>
      <w:pPr>
        <w:spacing w:after="0" w:line="234" w:lineRule="exact"/>
        <w:rPr>
          <w:sz w:val="20"/>
          <w:szCs w:val="20"/>
          <w:color w:val="auto"/>
        </w:rPr>
      </w:pPr>
    </w:p>
    <w:p>
      <w:pPr>
        <w:ind w:left="60" w:right="359"/>
        <w:spacing w:after="0" w:line="248" w:lineRule="auto"/>
        <w:rPr>
          <w:sz w:val="20"/>
          <w:szCs w:val="20"/>
          <w:color w:val="auto"/>
        </w:rPr>
      </w:pPr>
      <w:r>
        <w:rPr>
          <w:rFonts w:ascii="Arial" w:cs="Arial" w:eastAsia="Arial" w:hAnsi="Arial"/>
          <w:sz w:val="17"/>
          <w:szCs w:val="17"/>
          <w:color w:val="auto"/>
        </w:rPr>
        <w:t>We have audited Lordstown Motors Corp. and subsidiaries' (the Company) internal control over financial reporting as of December 31, 2021, based on criteria established in Internal Control – Integrated Framework (2013) issued by the Committee of Sponsoring Organizations of the Treadway Commission. In our</w:t>
      </w:r>
    </w:p>
    <w:p>
      <w:pPr>
        <w:spacing w:after="0" w:line="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opinion, because of the effect of the material weakness, described below, on the achievement of the objectives of the control criteria, the Company has not maintained effective internal control over financial reporting as of December 31, 2021,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stockholders’ equity, and cash flows for each of the years in the two-year period ended December 31, 2021, and the related notes (collectively, the consolidated financial statements), and our report dated February 28, 2022 expressed an unqualified opinion on those consolidated financial statements.</w:t>
      </w:r>
    </w:p>
    <w:p>
      <w:pPr>
        <w:spacing w:after="0" w:line="16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have a sufficient number of trained resources with assigned responsibilities and accountability for the design and operation of internal controls over financial reporting. As a consequence, the Company did not effectively operate process-level control activities related to procure to pay (including operating expenses, prepaid expenses, and accrued liabilities), review and approval of manual journal entries, and user access controls to ensure appropriate segregation of duties. The material weakness was considered in determining the nature, timing, and extent of audit tests applied in our audit of the 2021 consolidated financial statements, and this report does not affect our report on those consolidated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26"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ind w:left="60"/>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w:t>
      </w:r>
    </w:p>
    <w:p>
      <w:pPr>
        <w:ind w:left="60"/>
        <w:spacing w:after="0"/>
        <w:rPr>
          <w:sz w:val="20"/>
          <w:szCs w:val="20"/>
          <w:color w:val="auto"/>
        </w:rPr>
      </w:pPr>
      <w:r>
        <w:rPr>
          <w:rFonts w:ascii="Arial" w:cs="Arial" w:eastAsia="Arial" w:hAnsi="Arial"/>
          <w:sz w:val="18"/>
          <w:szCs w:val="18"/>
          <w:color w:val="auto"/>
        </w:rPr>
        <w:t>of Lordstown Motors Corp.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2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audited the accompanying balance sheet of Lordstown Motors Corp. (the Company) as of December 31, 2019, and the related statements of operations, stockholders’ equity, and cash flows for the period beginning April 30, 2019 and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beginning April, 30, 2019 and ended December 31, 2019, in conformity with accounting principles generally accepted in the United States of America.</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w:t>
      </w:r>
    </w:p>
    <w:p>
      <w:pPr>
        <w:spacing w:after="0" w:line="12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incurred a net loss of $10,390,514 during the period beginning April 30, 2019 and ended December 31, 2019, and as of that date the Company’s current liabilities exceeded its current assets by $22,830,530. These conditions, along with other matters, raise substantial doubt about the Company’s ability to continue as a going concern. The financial statements do not include any adjustments that might result from the outcome of this uncertainty.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Clark, Schaefer, Hackett &amp; Co.</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Cincinnati, OH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20,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5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560" w:type="dxa"/>
            <w:vAlign w:val="bottom"/>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47,121</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r>
      <w:tr>
        <w:trPr>
          <w:trHeight w:val="196"/>
        </w:trPr>
        <w:tc>
          <w:tcPr>
            <w:tcW w:w="55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7"/>
                <w:szCs w:val="17"/>
                <w:color w:val="auto"/>
              </w:rPr>
            </w:pPr>
          </w:p>
        </w:tc>
        <w:tc>
          <w:tcPr>
            <w:tcW w:w="320" w:type="dxa"/>
            <w:vAlign w:val="bottom"/>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291,137</w:t>
            </w:r>
          </w:p>
        </w:tc>
        <w:tc>
          <w:tcPr>
            <w:tcW w:w="2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382,746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13,900</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688,783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r>
        <w:trPr>
          <w:trHeight w:val="196"/>
        </w:trPr>
        <w:tc>
          <w:tcPr>
            <w:tcW w:w="556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12,098</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32,536</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Accrued and other current liabilities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35,507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1,538</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Purchase price down payment from Foxconn</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7"/>
                <w:szCs w:val="17"/>
                <w:color w:val="auto"/>
              </w:rPr>
            </w:pPr>
          </w:p>
        </w:tc>
        <w:tc>
          <w:tcPr>
            <w:tcW w:w="320" w:type="dxa"/>
            <w:vAlign w:val="bottom"/>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147,605</w:t>
            </w:r>
          </w:p>
        </w:tc>
        <w:tc>
          <w:tcPr>
            <w:tcW w:w="2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34,074</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 payable</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5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 and other non-current liabilities</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101,392</w:t>
            </w:r>
          </w:p>
        </w:tc>
      </w:tr>
      <w:tr>
        <w:trPr>
          <w:trHeight w:val="196"/>
        </w:trPr>
        <w:tc>
          <w:tcPr>
            <w:tcW w:w="55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149,183</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136,481</w:t>
            </w:r>
          </w:p>
        </w:tc>
      </w:tr>
      <w:tr>
        <w:trPr>
          <w:trHeight w:val="196"/>
        </w:trPr>
        <w:tc>
          <w:tcPr>
            <w:tcW w:w="55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5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Class A common stock, $0.0001 par value, 300,000,000 shares</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authorized; 196,391,349 and 168,007,960 shares issued and</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2"/>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as of December 31, 2021 and December 31, 2020,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700" w:type="dxa"/>
            <w:vAlign w:val="bottom"/>
            <w:gridSpan w:val="2"/>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5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1,084,390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(544,809)</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196"/>
        </w:trPr>
        <w:tc>
          <w:tcPr>
            <w:tcW w:w="55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539,600</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196"/>
        </w:trPr>
        <w:tc>
          <w:tcPr>
            <w:tcW w:w="5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thousands except for per share information)</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from April 30, 2019</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 December 31, 2019</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105,362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284,016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70,967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102,283</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(102,283)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(10,079)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(20,866)</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(901)</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Loss per share attributable to common</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3" w:lineRule="exact"/>
              <w:rPr>
                <w:sz w:val="20"/>
                <w:szCs w:val="20"/>
                <w:color w:val="auto"/>
              </w:rPr>
            </w:pPr>
            <w:r>
              <w:rPr>
                <w:rFonts w:ascii="Arial" w:cs="Arial" w:eastAsia="Arial" w:hAnsi="Arial"/>
                <w:sz w:val="18"/>
                <w:szCs w:val="18"/>
                <w:color w:val="auto"/>
              </w:rPr>
              <w:t>shareholders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line="201" w:lineRule="exact"/>
              <w:rPr>
                <w:sz w:val="20"/>
                <w:szCs w:val="20"/>
                <w:color w:val="auto"/>
              </w:rPr>
            </w:pPr>
            <w:r>
              <w:rPr>
                <w:rFonts w:ascii="Arial" w:cs="Arial" w:eastAsia="Arial" w:hAnsi="Arial"/>
                <w:sz w:val="18"/>
                <w:szCs w:val="18"/>
                <w:color w:val="auto"/>
              </w:rPr>
              <w:t>Weighted-average number of common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180,722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96,716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Inception at April 30, 2019</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68,279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18,598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18,605</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(10,391)</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r>
      <w:tr>
        <w:trPr>
          <w:trHeight w:val="202"/>
        </w:trPr>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conversion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of notes payable</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r>
      <w:tr>
        <w:trPr>
          <w:trHeight w:val="202"/>
        </w:trPr>
        <w:tc>
          <w:tcPr>
            <w:tcW w:w="3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53,724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53,724</w:t>
            </w:r>
          </w:p>
        </w:tc>
      </w:tr>
      <w:tr>
        <w:trPr>
          <w:trHeight w:val="202"/>
        </w:trPr>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in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recapitalization, net of redemptions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and transaction costs</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84,376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644,581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644,589</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(124,050)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196"/>
        </w:trPr>
        <w:tc>
          <w:tcPr>
            <w:tcW w:w="31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168,008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765,162</w:t>
            </w:r>
          </w:p>
        </w:tc>
        <w:tc>
          <w:tcPr>
            <w:tcW w:w="160" w:type="dxa"/>
            <w:vAlign w:val="bottom"/>
          </w:tcPr>
          <w:p>
            <w:pPr>
              <w:spacing w:after="0"/>
              <w:rPr>
                <w:sz w:val="17"/>
                <w:szCs w:val="17"/>
                <w:color w:val="auto"/>
              </w:rPr>
            </w:pPr>
          </w:p>
        </w:tc>
        <w:tc>
          <w:tcPr>
            <w:tcW w:w="1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(134,441)</w:t>
            </w:r>
          </w:p>
        </w:tc>
        <w:tc>
          <w:tcPr>
            <w:tcW w:w="200" w:type="dxa"/>
            <w:vAlign w:val="bottom"/>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r>
      <w:tr>
        <w:trPr>
          <w:trHeight w:val="202"/>
        </w:trPr>
        <w:tc>
          <w:tcPr>
            <w:tcW w:w="3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7,984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194,797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194,798</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Common stock issued for YA</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49,375</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Common stock issued for Foxconn</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18,689</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(410,368)</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(410,368)</w:t>
            </w:r>
          </w:p>
        </w:tc>
      </w:tr>
      <w:tr>
        <w:trPr>
          <w:trHeight w:val="196"/>
        </w:trPr>
        <w:tc>
          <w:tcPr>
            <w:tcW w:w="33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196,391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1,084,390</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(544,809)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71"/>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2840" w:type="dxa"/>
            <w:vAlign w:val="bottom"/>
            <w:gridSpan w:val="5"/>
          </w:tcPr>
          <w:p>
            <w:pPr>
              <w:spacing w:after="0"/>
              <w:rPr>
                <w:sz w:val="20"/>
                <w:szCs w:val="20"/>
                <w:color w:val="auto"/>
              </w:rPr>
            </w:pPr>
            <w:r>
              <w:rPr>
                <w:rFonts w:ascii="Arial" w:cs="Arial" w:eastAsia="Arial" w:hAnsi="Arial"/>
                <w:sz w:val="14"/>
                <w:szCs w:val="14"/>
                <w:b w:val="1"/>
                <w:bCs w:val="1"/>
                <w:color w:val="auto"/>
              </w:rPr>
              <w:t>December 31, 2020 to December 31,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(410,368)</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(124,050)</w:t>
            </w:r>
          </w:p>
        </w:tc>
        <w:tc>
          <w:tcPr>
            <w:tcW w:w="2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Adjustments to reconcile net loss to cash used by operating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18,689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change in fair value related to warrants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Forgiveness of note payable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Gain on disposal of fixed 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(34,124)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25,767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32,831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used by operating activities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(387,990)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(99,596)</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Purchases of capital assets</w:t>
            </w:r>
          </w:p>
        </w:tc>
        <w:tc>
          <w:tcPr>
            <w:tcW w:w="2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(284,514)</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(52,645)</w:t>
            </w:r>
          </w:p>
        </w:tc>
        <w:tc>
          <w:tcPr>
            <w:tcW w:w="2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Purchase of intangible 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Proceeds from the sale of capital assets</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2,396</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used by investing activities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(285,514)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(50,249)</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Down payment received from Foxconn</w:t>
            </w:r>
          </w:p>
        </w:tc>
        <w:tc>
          <w:tcPr>
            <w:tcW w:w="2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Cash proceeds from exercise of warrants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82,016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30,692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Proceeds from Equity Purchase Agreement, net of issuance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costs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49,375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Cash received in recapitalization, net of transaction costs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701,520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received from Foxconn Subscription Agreement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Proceeds from notes payable</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38,796</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provided by financing activities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287,759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777,447</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increase in cash and cash equivalents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(385,745)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627,602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629,761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244,016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629,761</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items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300"/>
              <w:spacing w:after="0" w:line="202" w:lineRule="exact"/>
              <w:rPr>
                <w:sz w:val="20"/>
                <w:szCs w:val="20"/>
                <w:color w:val="auto"/>
              </w:rPr>
            </w:pPr>
            <w:r>
              <w:rPr>
                <w:rFonts w:ascii="Arial" w:cs="Arial" w:eastAsia="Arial" w:hAnsi="Arial"/>
                <w:sz w:val="18"/>
                <w:szCs w:val="18"/>
                <w:color w:val="auto"/>
              </w:rPr>
              <w:t>Conversion of notes payable to equity</w:t>
            </w:r>
          </w:p>
        </w:tc>
        <w:tc>
          <w:tcPr>
            <w:tcW w:w="80" w:type="dxa"/>
            <w:vAlign w:val="bottom"/>
          </w:tcPr>
          <w:p>
            <w:pPr>
              <w:spacing w:after="0"/>
              <w:rPr>
                <w:sz w:val="21"/>
                <w:szCs w:val="21"/>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38,725</w:t>
            </w:r>
          </w:p>
        </w:tc>
        <w:tc>
          <w:tcPr>
            <w:tcW w:w="2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top w:val="single" w:sz="8" w:color="CCEEFF"/>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Capital assets acquired with payables</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2,162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5,592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8"/>
                <w:szCs w:val="18"/>
                <w:color w:val="auto"/>
              </w:rPr>
              <w:t>Capital assets exchanged for equity</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23,200</w:t>
            </w: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Common stock issued in exchange for intangible assets</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360"/>
          </w:cols>
          <w:pgMar w:left="1260" w:top="530" w:right="1279"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34" w:lineRule="exact"/>
        <w:rPr>
          <w:sz w:val="20"/>
          <w:szCs w:val="20"/>
          <w:color w:val="auto"/>
        </w:rPr>
      </w:pPr>
    </w:p>
    <w:p>
      <w:pPr>
        <w:jc w:val="both"/>
        <w:ind w:left="60" w:right="319"/>
        <w:spacing w:after="0" w:line="257" w:lineRule="auto"/>
        <w:rPr>
          <w:sz w:val="20"/>
          <w:szCs w:val="20"/>
          <w:color w:val="auto"/>
        </w:rPr>
      </w:pPr>
      <w:r>
        <w:rPr>
          <w:rFonts w:ascii="Arial" w:cs="Arial" w:eastAsia="Arial" w:hAnsi="Arial"/>
          <w:sz w:val="17"/>
          <w:szCs w:val="17"/>
          <w:color w:val="auto"/>
        </w:rPr>
        <w:t>Lordstown Motors Corp., a Delaware corporation (“Lordstown”, the “Company” or “we”), is an electric vehicle innovator developing high-quality light duty commercial fleet vehicles, with the Endurance all electric pick-up truck as its first vehicle being launched in the Lordstown, Ohio facility. The Company is in its final design and testing phase related to our production of the Endurance and has yet to bring a completed product to market.</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September 30, 2021, the Company entered into a subscription agreement pursuant to which the Company agreed to issue and sell, and Foxconn agreed to purchase, 7.2 million shares of the Company’s Class A common stock (the “Subscription Agreement”) for $ 6.8983 per share in cash based on the simple average of the volume weighted average price for the 15 days immediately preceding the date of the subscription agreement, or approximately $50.0 million in total consideration. The stock issuance and corresponding receipt of approximately $50.0 million occurred in October 2021.</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November 10, 2021, we entered into the Asset Purchase Agreement with Foxconn Ohio. Pursuant to the</w:t>
      </w:r>
    </w:p>
    <w:p>
      <w:pPr>
        <w:ind w:left="60"/>
        <w:spacing w:after="0" w:line="234" w:lineRule="auto"/>
        <w:rPr>
          <w:sz w:val="20"/>
          <w:szCs w:val="20"/>
          <w:color w:val="auto"/>
        </w:rPr>
      </w:pPr>
      <w:r>
        <w:rPr>
          <w:rFonts w:ascii="Arial" w:cs="Arial" w:eastAsia="Arial" w:hAnsi="Arial"/>
          <w:sz w:val="18"/>
          <w:szCs w:val="18"/>
          <w:color w:val="auto"/>
        </w:rPr>
        <w:t>APA, Foxconn Ohio would purchase the Lordstown facility for $230 million and a reimbursement payment for</w:t>
      </w:r>
    </w:p>
    <w:p>
      <w:pPr>
        <w:ind w:left="60"/>
        <w:spacing w:after="0" w:line="235" w:lineRule="auto"/>
        <w:rPr>
          <w:sz w:val="20"/>
          <w:szCs w:val="20"/>
          <w:color w:val="auto"/>
        </w:rPr>
      </w:pPr>
      <w:r>
        <w:rPr>
          <w:rFonts w:ascii="Arial" w:cs="Arial" w:eastAsia="Arial" w:hAnsi="Arial"/>
          <w:sz w:val="18"/>
          <w:szCs w:val="18"/>
          <w:color w:val="auto"/>
        </w:rPr>
        <w:t>certain operating and expansion costs incurred by us from September 1, 2021 through the closing. We would</w:t>
      </w:r>
    </w:p>
    <w:p>
      <w:pPr>
        <w:ind w:left="60"/>
        <w:spacing w:after="0" w:line="235" w:lineRule="auto"/>
        <w:rPr>
          <w:sz w:val="20"/>
          <w:szCs w:val="20"/>
          <w:color w:val="auto"/>
        </w:rPr>
      </w:pPr>
      <w:r>
        <w:rPr>
          <w:rFonts w:ascii="Arial" w:cs="Arial" w:eastAsia="Arial" w:hAnsi="Arial"/>
          <w:sz w:val="18"/>
          <w:szCs w:val="18"/>
          <w:color w:val="auto"/>
        </w:rPr>
        <w:t>continue to own our hub motor assembly line, as well as our battery module and packing line assets, certain</w:t>
      </w:r>
    </w:p>
    <w:p>
      <w:pPr>
        <w:ind w:left="60"/>
        <w:spacing w:after="0" w:line="235" w:lineRule="auto"/>
        <w:rPr>
          <w:sz w:val="20"/>
          <w:szCs w:val="20"/>
          <w:color w:val="auto"/>
        </w:rPr>
      </w:pPr>
      <w:r>
        <w:rPr>
          <w:rFonts w:ascii="Arial" w:cs="Arial" w:eastAsia="Arial" w:hAnsi="Arial"/>
          <w:sz w:val="18"/>
          <w:szCs w:val="18"/>
          <w:color w:val="auto"/>
        </w:rPr>
        <w:t>intellectual property rights and other excluded assets. We expect to outsource all of the manufacturing of the</w:t>
      </w:r>
    </w:p>
    <w:p>
      <w:pPr>
        <w:ind w:left="60"/>
        <w:spacing w:after="0" w:line="235" w:lineRule="auto"/>
        <w:rPr>
          <w:sz w:val="20"/>
          <w:szCs w:val="20"/>
          <w:color w:val="auto"/>
        </w:rPr>
      </w:pPr>
      <w:r>
        <w:rPr>
          <w:rFonts w:ascii="Arial" w:cs="Arial" w:eastAsia="Arial" w:hAnsi="Arial"/>
          <w:sz w:val="18"/>
          <w:szCs w:val="18"/>
          <w:color w:val="auto"/>
        </w:rPr>
        <w:t>Endurance to Foxconn with the sale of our Lordstown facility; Foxconn would also operate the assets we</w:t>
      </w:r>
    </w:p>
    <w:p>
      <w:pPr>
        <w:ind w:left="60"/>
        <w:spacing w:after="0" w:line="234" w:lineRule="auto"/>
        <w:rPr>
          <w:sz w:val="20"/>
          <w:szCs w:val="20"/>
          <w:color w:val="auto"/>
        </w:rPr>
      </w:pPr>
      <w:r>
        <w:rPr>
          <w:rFonts w:ascii="Arial" w:cs="Arial" w:eastAsia="Arial" w:hAnsi="Arial"/>
          <w:sz w:val="18"/>
          <w:szCs w:val="18"/>
          <w:color w:val="auto"/>
        </w:rPr>
        <w:t>continue to own in the facility after closing. Foxconn Ohio has made down payments of the purchase price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$100 million on November 18, 2021 and $50 million on January 28, 2022. Foxconn Ohio is required to make an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 down payment of $50 million no later than April 15, 2022, subject to certain conditions. If the APA is</w:t>
      </w:r>
    </w:p>
    <w:p>
      <w:pPr>
        <w:ind w:left="60"/>
        <w:spacing w:after="0" w:line="234" w:lineRule="auto"/>
        <w:rPr>
          <w:sz w:val="20"/>
          <w:szCs w:val="20"/>
          <w:color w:val="auto"/>
        </w:rPr>
      </w:pPr>
      <w:r>
        <w:rPr>
          <w:rFonts w:ascii="Arial" w:cs="Arial" w:eastAsia="Arial" w:hAnsi="Arial"/>
          <w:sz w:val="18"/>
          <w:szCs w:val="18"/>
          <w:color w:val="auto"/>
        </w:rPr>
        <w:t>terminated or if the transaction does not close prior to the later of (i) April 30, 2022 and (ii) 10 days after the</w:t>
      </w:r>
    </w:p>
    <w:p>
      <w:pPr>
        <w:ind w:left="60"/>
        <w:spacing w:after="0" w:line="235" w:lineRule="auto"/>
        <w:rPr>
          <w:sz w:val="20"/>
          <w:szCs w:val="20"/>
          <w:color w:val="auto"/>
        </w:rPr>
      </w:pPr>
      <w:r>
        <w:rPr>
          <w:rFonts w:ascii="Arial" w:cs="Arial" w:eastAsia="Arial" w:hAnsi="Arial"/>
          <w:sz w:val="18"/>
          <w:szCs w:val="18"/>
          <w:color w:val="auto"/>
        </w:rPr>
        <w:t>transaction is cleared by CFIUS, we are obligated to repay the down payments to Foxconn. We have granted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Foxconn a first priority security interest in substantially all of our assets to secure the repayment obligation. The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APA is subject to several conditions and has not been consummated as of the date of the filing of this report.</w:t>
      </w:r>
    </w:p>
    <w:p>
      <w:pPr>
        <w:spacing w:after="0" w:line="21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closing of the transactions contemplated by the Asset Purchase Agreement are subject to certain conditions, including, but not limited to: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and (b) receipt of a communication that the U.S. government’s Committee on Foreign Investment in the United States (“CFIUS”) has completed its review of the transaction and determined there are no national security concerns with the transaction. We are required to maintain minimum cash balances of $50 million through March 1, 2022 and $30 million thereafter. The Company will issue warrants to Foxconn that are exercisable until the third anniversary of the closing for 1.7 million shares of Class A common stock at an exercise price of $10.50 per share.</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and Foxconn have made significant progress negotiating the Contract Manufacturing Agreement and Lordstown Facility Lease, as well as supporting the review of the Foxconn Transactions by CFIUS. The parties have mutually agreed they no longer believe an operating agreement pursuant to which Lordstown would provide support to Foxconn, between signing and closing of the APA, for non-Endurance-specific investments was necessary.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The APA includes a commitment by Foxconn and the Company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The APA also includes a commitment by Foxconn and the Company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In the place of a joint venture and licensing agreement, the parties agreed to explore a joint product development agreement. We are actively discussing the establishment of such an agreement with Foxconn, under which we would seek to use the MIH platform to develop a portfolio of electric vehicles targeting our commercial fleet customers, built at the Lordstown, Ohio plant and to license to Foxconn certain of our intellectual property. If an agreement is reached,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and the Lordstown Facility Lease (collectively, the “Foxconn Transactions”), or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w:t>
      </w:r>
    </w:p>
    <w:p>
      <w:pPr>
        <w:spacing w:after="0" w:line="202"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The Company has also reclassified the presentation of certain prior-year amounts to conform to the current presentation.</w:t>
      </w:r>
    </w:p>
    <w:p>
      <w:pPr>
        <w:spacing w:after="0" w:line="197"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5" w:lineRule="exact"/>
        <w:rPr>
          <w:sz w:val="20"/>
          <w:szCs w:val="20"/>
          <w:color w:val="auto"/>
        </w:rPr>
      </w:pPr>
    </w:p>
    <w:p>
      <w:pPr>
        <w:ind w:left="60" w:right="219" w:hanging="10"/>
        <w:spacing w:after="0" w:line="246" w:lineRule="auto"/>
        <w:tabs>
          <w:tab w:leader="none" w:pos="3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9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Closing, the Company (a) issued and sold an aggregate of 50 million shares of Class A</w:t>
      </w:r>
    </w:p>
    <w:p>
      <w:pPr>
        <w:ind w:left="60"/>
        <w:spacing w:after="0" w:line="234" w:lineRule="auto"/>
        <w:rPr>
          <w:sz w:val="20"/>
          <w:szCs w:val="20"/>
          <w:color w:val="auto"/>
        </w:rPr>
      </w:pPr>
      <w:r>
        <w:rPr>
          <w:rFonts w:ascii="Arial" w:cs="Arial" w:eastAsia="Arial" w:hAnsi="Arial"/>
          <w:sz w:val="18"/>
          <w:szCs w:val="18"/>
          <w:color w:val="auto"/>
        </w:rPr>
        <w:t>common stock for $10.00 per share at an aggregate purchase price of $500 million pursuant to previously</w:t>
      </w:r>
    </w:p>
    <w:p>
      <w:pPr>
        <w:ind w:left="60"/>
        <w:spacing w:after="0" w:line="235" w:lineRule="auto"/>
        <w:rPr>
          <w:sz w:val="20"/>
          <w:szCs w:val="20"/>
          <w:color w:val="auto"/>
        </w:rPr>
      </w:pPr>
      <w:r>
        <w:rPr>
          <w:rFonts w:ascii="Arial" w:cs="Arial" w:eastAsia="Arial" w:hAnsi="Arial"/>
          <w:sz w:val="18"/>
          <w:szCs w:val="18"/>
          <w:color w:val="auto"/>
        </w:rPr>
        <w:t>announced subscription agreements with certain investors (the “PIPE Investors”), (b) issued an aggregate of</w:t>
      </w:r>
    </w:p>
    <w:p>
      <w:pPr>
        <w:ind w:left="60"/>
        <w:spacing w:after="0" w:line="235" w:lineRule="auto"/>
        <w:rPr>
          <w:sz w:val="20"/>
          <w:szCs w:val="20"/>
          <w:color w:val="auto"/>
        </w:rPr>
      </w:pPr>
      <w:r>
        <w:rPr>
          <w:rFonts w:ascii="Arial" w:cs="Arial" w:eastAsia="Arial" w:hAnsi="Arial"/>
          <w:sz w:val="18"/>
          <w:szCs w:val="18"/>
          <w:color w:val="auto"/>
        </w:rPr>
        <w:t>approximately 4 million shares of Class A common stock to holders of $40 million in aggregate principal amount</w:t>
      </w:r>
    </w:p>
    <w:p>
      <w:pPr>
        <w:ind w:left="60"/>
        <w:spacing w:after="0" w:line="235" w:lineRule="auto"/>
        <w:rPr>
          <w:sz w:val="20"/>
          <w:szCs w:val="20"/>
          <w:color w:val="auto"/>
        </w:rPr>
      </w:pPr>
      <w:r>
        <w:rPr>
          <w:rFonts w:ascii="Arial" w:cs="Arial" w:eastAsia="Arial" w:hAnsi="Arial"/>
          <w:sz w:val="18"/>
          <w:szCs w:val="18"/>
          <w:color w:val="auto"/>
        </w:rPr>
        <w:t>plus accrued interest, of Legacy LMC convertible promissory notes at a conversion price of $10.00 per share</w:t>
      </w:r>
    </w:p>
    <w:p>
      <w:pPr>
        <w:ind w:left="60"/>
        <w:spacing w:after="0" w:line="235" w:lineRule="auto"/>
        <w:rPr>
          <w:sz w:val="20"/>
          <w:szCs w:val="20"/>
          <w:color w:val="auto"/>
        </w:rPr>
      </w:pPr>
      <w:r>
        <w:rPr>
          <w:rFonts w:ascii="Arial" w:cs="Arial" w:eastAsia="Arial" w:hAnsi="Arial"/>
          <w:sz w:val="18"/>
          <w:szCs w:val="18"/>
          <w:color w:val="auto"/>
        </w:rPr>
        <w:t>upon automatic conversion of such notes (the “Note Conversions”), and (c) issued warrants to purchase 1.6</w:t>
      </w:r>
    </w:p>
    <w:p>
      <w:pPr>
        <w:ind w:left="60"/>
        <w:spacing w:after="0" w:line="234" w:lineRule="auto"/>
        <w:rPr>
          <w:sz w:val="20"/>
          <w:szCs w:val="20"/>
          <w:color w:val="auto"/>
        </w:rPr>
      </w:pPr>
      <w:r>
        <w:rPr>
          <w:rFonts w:ascii="Arial" w:cs="Arial" w:eastAsia="Arial" w:hAnsi="Arial"/>
          <w:sz w:val="18"/>
          <w:szCs w:val="18"/>
          <w:color w:val="auto"/>
        </w:rPr>
        <w:t>million shares of Class A common stock (“BGL Warrants”) a purchase price of $10.00 per share to a third party.</w:t>
      </w:r>
    </w:p>
    <w:p>
      <w:pPr>
        <w:ind w:left="60"/>
        <w:spacing w:after="0" w:line="235" w:lineRule="auto"/>
        <w:rPr>
          <w:sz w:val="20"/>
          <w:szCs w:val="20"/>
          <w:color w:val="auto"/>
        </w:rPr>
      </w:pPr>
      <w:r>
        <w:rPr>
          <w:rFonts w:ascii="Arial" w:cs="Arial" w:eastAsia="Arial" w:hAnsi="Arial"/>
          <w:sz w:val="18"/>
          <w:szCs w:val="18"/>
          <w:color w:val="auto"/>
        </w:rPr>
        <w:t>Additionally, the Company assumed 9.3 million Public Warrants (as defined below) and 5.1 million Private</w:t>
      </w:r>
    </w:p>
    <w:p>
      <w:pPr>
        <w:ind w:left="60"/>
        <w:spacing w:after="0" w:line="235" w:lineRule="auto"/>
        <w:rPr>
          <w:sz w:val="20"/>
          <w:szCs w:val="20"/>
          <w:color w:val="auto"/>
        </w:rPr>
      </w:pPr>
      <w:r>
        <w:rPr>
          <w:rFonts w:ascii="Arial" w:cs="Arial" w:eastAsia="Arial" w:hAnsi="Arial"/>
          <w:sz w:val="18"/>
          <w:szCs w:val="18"/>
          <w:color w:val="auto"/>
        </w:rPr>
        <w:t>Warrants (as defined below) both of which were originally issued by DiamondPeak with an exercise price of</w:t>
      </w:r>
    </w:p>
    <w:p>
      <w:pPr>
        <w:ind w:left="60"/>
        <w:spacing w:after="0" w:line="235" w:lineRule="auto"/>
        <w:rPr>
          <w:sz w:val="20"/>
          <w:szCs w:val="20"/>
          <w:color w:val="auto"/>
        </w:rPr>
      </w:pPr>
      <w:r>
        <w:rPr>
          <w:rFonts w:ascii="Arial" w:cs="Arial" w:eastAsia="Arial" w:hAnsi="Arial"/>
          <w:sz w:val="18"/>
          <w:szCs w:val="18"/>
          <w:color w:val="auto"/>
        </w:rPr>
        <w:t>$11.50. In December 2020, 2.7 million of the Public Warrants were exercised which resulted in $30.7 million in</w:t>
      </w:r>
    </w:p>
    <w:p>
      <w:pPr>
        <w:ind w:left="60"/>
        <w:spacing w:after="0" w:line="235" w:lineRule="auto"/>
        <w:rPr>
          <w:sz w:val="20"/>
          <w:szCs w:val="20"/>
          <w:color w:val="auto"/>
        </w:rPr>
      </w:pPr>
      <w:r>
        <w:rPr>
          <w:rFonts w:ascii="Arial" w:cs="Arial" w:eastAsia="Arial" w:hAnsi="Arial"/>
          <w:sz w:val="18"/>
          <w:szCs w:val="18"/>
          <w:color w:val="auto"/>
        </w:rPr>
        <w:t>proceeds. In January 2021, a significant portion of the remaining Public Warrants and 0.6 million of the Private</w:t>
      </w:r>
    </w:p>
    <w:p>
      <w:pPr>
        <w:ind w:left="60"/>
        <w:spacing w:after="0" w:line="234" w:lineRule="auto"/>
        <w:rPr>
          <w:sz w:val="20"/>
          <w:szCs w:val="20"/>
          <w:color w:val="auto"/>
        </w:rPr>
      </w:pPr>
      <w:r>
        <w:rPr>
          <w:rFonts w:ascii="Arial" w:cs="Arial" w:eastAsia="Arial" w:hAnsi="Arial"/>
          <w:sz w:val="18"/>
          <w:szCs w:val="18"/>
          <w:color w:val="auto"/>
        </w:rPr>
        <w:t>Warrants were exercised upon payment of the cash exercise price, which resulted in cash proceeds of $82.0</w:t>
      </w:r>
    </w:p>
    <w:p>
      <w:pPr>
        <w:ind w:left="60"/>
        <w:spacing w:after="0" w:line="235" w:lineRule="auto"/>
        <w:rPr>
          <w:sz w:val="20"/>
          <w:szCs w:val="20"/>
          <w:color w:val="auto"/>
        </w:rPr>
      </w:pPr>
      <w:r>
        <w:rPr>
          <w:rFonts w:ascii="Arial" w:cs="Arial" w:eastAsia="Arial" w:hAnsi="Arial"/>
          <w:sz w:val="18"/>
          <w:szCs w:val="18"/>
          <w:color w:val="auto"/>
        </w:rPr>
        <w:t>million. As of December 31, 2021, there were 2.3 million Private Warrants, 1.6 million BGL Warrants and no</w:t>
      </w:r>
    </w:p>
    <w:p>
      <w:pPr>
        <w:ind w:left="60"/>
        <w:spacing w:after="0" w:line="235" w:lineRule="auto"/>
        <w:rPr>
          <w:sz w:val="20"/>
          <w:szCs w:val="20"/>
          <w:color w:val="auto"/>
        </w:rPr>
      </w:pPr>
      <w:r>
        <w:rPr>
          <w:rFonts w:ascii="Arial" w:cs="Arial" w:eastAsia="Arial" w:hAnsi="Arial"/>
          <w:sz w:val="18"/>
          <w:szCs w:val="18"/>
          <w:color w:val="auto"/>
        </w:rPr>
        <w:t>Public Warrants outstanding. See further discussion related to the accounting of the Public Warrants and</w:t>
      </w:r>
    </w:p>
    <w:p>
      <w:pPr>
        <w:ind w:left="60"/>
        <w:spacing w:after="0"/>
        <w:rPr>
          <w:sz w:val="20"/>
          <w:szCs w:val="20"/>
          <w:color w:val="auto"/>
        </w:rPr>
      </w:pPr>
      <w:r>
        <w:rPr>
          <w:rFonts w:ascii="Arial" w:cs="Arial" w:eastAsia="Arial" w:hAnsi="Arial"/>
          <w:sz w:val="18"/>
          <w:szCs w:val="18"/>
          <w:color w:val="auto"/>
        </w:rPr>
        <w:t>Private Warrants in Note 3.</w:t>
      </w:r>
    </w:p>
    <w:p>
      <w:pPr>
        <w:spacing w:after="0" w:line="198"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89"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As part of the Business Combination, we recorded $644.6 million in equity for the recapitalization, net of transaction costs and $100.9 million in liabilities related to the Public and Private Warrants described in Note 3. The Company received cash proceeds of $701.5 million as a result of the Business Combination which was net of the settlement of the $ 20.8 million related party note payable and $23.2 million in property purchased through equity both as described in Note 10. Additionally, a $5 million Convertible Note and the $5.9 million amount in Due to related party as described in Note 10 were also settled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200"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The Company had cash and cash equivalents of approximately $244.0 million and an accumulated deficit of $544.8 million at December 31, 2021 and a net loss of $410.4 million for the year ended December 31, 2021. Since inception, the Company has been developing its flagship vehicle, the Endurance, an electric full-size pickup truck. The Company’s ability to continue as a going concern is dependent on its ability to complete the Foxconn Transactions, raise substantial additional capital, complete the development of the Endurance, obtain regulatory approval, begin commercial scale production and launch the sale of the Endurance. The Company believes that its current level of cash and cash equivalents are not sufficient to fund commercial scale production and the launch of sale of such vehicles. These conditions raise substantial doubt regarding the Company’s ability to continue as a going concern for a period of at least one year from the date of issuance of these consolidated financial statements.</w:t>
      </w:r>
    </w:p>
    <w:p>
      <w:pPr>
        <w:spacing w:after="0" w:line="19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Company’s business plan contemplates that it will build a limited number of pre-production vehicles in the first half of 2022 for testing, certifications and to demonstrate the capabilities of the Endurance to potential customers. The Company expects commercial production and sales to begin in the third quarter of 2022. While conducting these activities, and for the foreseeable future, the Company will incur significant operating expenses, capital expenditures and working capital funding that will deplete its cash on hand. Absent any material delays, the Company anticipates that it has sufficient funds to close the Foxconn Transactions and receive the proceeds as contemplated by the Asset Purchase Agreement. However, the Company will be required to raise additional capital in order to execute its business plan well in advance of reaching commercial production of the Endurance. The proceeds contemplated in the Asset Purchase Agreement will not be sufficient for these purposes. In addition, the closing of the APA remains subject to certain conditions, and if the transaction does not close, the Company will be required to repay the down payments made by Foxconn and it is unlikely the Company will have funding available to do so.</w:t>
      </w:r>
    </w:p>
    <w:p>
      <w:pPr>
        <w:spacing w:after="0" w:line="19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2021, the Company’s research and development expenses and capital expenditures increased significantly over 2020 levels to build capacity and invest in the development of the Endurance. The costs are significant due to spending needed for prototype components, vehicle validation tests, securing necessary parts/equipment, and utilizing in-house and third-party engineering services. Increased spending was also due in part to the stress that the COVID-19 pandemic put on the global automotive supply chain and a strategic decision to bring development of certain components, such as the frame of the Endurance, in-house. The Company expects continued supply chain constraints and pricing pressure that may negatively impact its cost structure and production timeline.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through arrangements with strategic partners or through obtaining financing from government or financial institutions. </w:t>
      </w:r>
      <w:r>
        <w:rPr>
          <w:rFonts w:ascii="Arial" w:cs="Arial" w:eastAsia="Arial" w:hAnsi="Arial"/>
          <w:sz w:val="18"/>
          <w:szCs w:val="18"/>
          <w:color w:val="010101"/>
        </w:rPr>
        <w:t>The Company has</w:t>
      </w:r>
      <w:r>
        <w:rPr>
          <w:rFonts w:ascii="Arial" w:cs="Arial" w:eastAsia="Arial" w:hAnsi="Arial"/>
          <w:sz w:val="18"/>
          <w:szCs w:val="18"/>
          <w:color w:val="auto"/>
        </w:rPr>
        <w:t xml:space="preserve"> </w:t>
      </w:r>
      <w:r>
        <w:rPr>
          <w:rFonts w:ascii="Arial" w:cs="Arial" w:eastAsia="Arial" w:hAnsi="Arial"/>
          <w:sz w:val="18"/>
          <w:szCs w:val="18"/>
          <w:color w:val="010101"/>
        </w:rPr>
        <w:t>engaged a financial advisor to advise the Company on additional financing alternatives</w:t>
      </w:r>
      <w:r>
        <w:rPr>
          <w:rFonts w:ascii="Arial" w:cs="Arial" w:eastAsia="Arial" w:hAnsi="Arial"/>
          <w:sz w:val="18"/>
          <w:szCs w:val="18"/>
          <w:color w:val="000000"/>
        </w:rPr>
        <w:t>.</w:t>
      </w:r>
    </w:p>
    <w:p>
      <w:pPr>
        <w:spacing w:after="0" w:line="191" w:lineRule="exact"/>
        <w:rPr>
          <w:sz w:val="20"/>
          <w:szCs w:val="20"/>
          <w:color w:val="auto"/>
        </w:rPr>
      </w:pPr>
    </w:p>
    <w:p>
      <w:pPr>
        <w:jc w:val="both"/>
        <w:ind w:left="60" w:right="339"/>
        <w:spacing w:after="0" w:line="248" w:lineRule="auto"/>
        <w:rPr>
          <w:sz w:val="20"/>
          <w:szCs w:val="20"/>
          <w:color w:val="auto"/>
        </w:rPr>
      </w:pPr>
      <w:r>
        <w:rPr>
          <w:rFonts w:ascii="Arial" w:cs="Arial" w:eastAsia="Arial" w:hAnsi="Arial"/>
          <w:sz w:val="17"/>
          <w:szCs w:val="17"/>
          <w:color w:val="auto"/>
        </w:rPr>
        <w:t>As further described in Note 7, on July 23, 2021, the Company entered into the “Equity Purchase Agreement with YA II PN, LTD. (“YA”), pursuant to which YA has committed to purchase up to $400 million of its Class A common stock, at the Company’s direction from time to time, subject to the satisfaction of certain conditions.</w:t>
      </w:r>
    </w:p>
    <w:p>
      <w:pPr>
        <w:spacing w:after="0" w:line="2"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During the year ended December 31, 2021, the Company’s issued 9.6 million shares to YA and received $49.4 million, net of equity issuance costs. The actual amount that the Company raises under this agreement will depend on market conditions and other financing alternatives that the Company is exploring, as well as limitations in the agreement. In particular, at current market prices of its shares of Class A common stock, without stockholder approval, the Exchange Cap provision would limit the amount of shares the Company can issue up to 35.1 million shares, and therefore limit funds the Company is able to raise to significantly less than the $400 million commitment under the Equity Purchase Agreement. As of December 31, 2021, the Company was in compliance with the terms and conditions of the Equity Purchase Agreement and the remaining availability under the Equity Purchase Agreement was $350 million which is subject to certain limitations as described above.</w:t>
      </w:r>
    </w:p>
    <w:p>
      <w:pPr>
        <w:spacing w:after="0" w:line="19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November 10, 2021, the Company entered into the APA with Foxconn, pursuant to which Foxconn would purchase the Lordstown facility for $230 million and a reimbursement payment for certain operating and expansion costs incurred by the Company from September 1, 2021 through the closing. The Company would continue to own its hub motor assembly line, as well as its battery module and packing line assets, certain intellectual property rights and other excluded assets. Foxconn has made down payments of the purchase price of $100 million in November 2021 and $50 million in January 2022. Foxconn is required to make an additional down payment of $50 million no later than April 15, 2022, subject to certain conditions. The balance of the purchase price, along with reimbursement of certain operating and expansion costs would be paid at closing. The Company is required to maintain minimum cash balances of $50 million through March 1, 2022 and $30 million thereafter.</w:t>
      </w:r>
    </w:p>
    <w:p>
      <w:pPr>
        <w:spacing w:after="0" w:line="23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the APA is terminated or if the transaction does not close prior to the later of (i) April 30, 2022 and (ii) 10 days after the transaction is cleared by CFIUS, the Company is obligated to repay the down payments to Foxconn. The Company has granted Foxconn a first priority security interest in substantially all of its assets to secure the repayment obligation. The APA is subject to several conditions and has not been consummated as of the date of the filing of this report. No assurance can be made that it will ultimately be consummated on the terms contemplated, or at all.</w:t>
      </w:r>
    </w:p>
    <w:p>
      <w:pPr>
        <w:spacing w:after="0" w:line="19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The Company is also exploring other potential agreements with Foxconn that would establish a joint product development agreement for future MIH-based vehicles and an appropriate funding structure. No assurance can be made that the joint product development agreement, an appropriate funding structure or other potential agreements would ultimately be entered or consummated on the terms contemplated, or at all.</w:t>
      </w:r>
    </w:p>
    <w:p>
      <w:pPr>
        <w:spacing w:after="0" w:line="18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Even if the Foxconn Transactions are consummated in accordance with the current terms and on the anticipated timeline, the Company will need additional funding to continue its development efforts and maintain current plans for its production timeline.</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the Company seeks additional sources of financing, there can be no assurance that such financing would be available to it on favorable terms or at all. The Company’s ability to obtain additional financing in the debt and equity capital markets is subject to several factors, including market and economic conditions, the significant amount of capital required, the fact that its bill of materials cost is currently, and expected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 xml:space="preserve">continue to be, substantially higher than the anticipated selling price of the Endurance, uncertainty surrounding regulatory approval and the performance of the vehicle, meaningful exposure to material losses related to ongoing litigation, its performance and investor sentiment with respect to the Company and its business and industry, as well as its pending transaction with Foxconn. As a result of these uncertainties, and notwithstanding management’s plans and efforts to date, there continues to be substantial doubt about the Company’s ability to continue as a going concern. </w:t>
      </w:r>
      <w:r>
        <w:rPr>
          <w:rFonts w:ascii="Arial" w:cs="Arial" w:eastAsia="Arial" w:hAnsi="Arial"/>
          <w:sz w:val="17"/>
          <w:szCs w:val="17"/>
          <w:color w:val="231F20"/>
        </w:rPr>
        <w:t>If the Company is unable to raise substantial additional capital in the near term, its</w:t>
      </w:r>
      <w:r>
        <w:rPr>
          <w:rFonts w:ascii="Arial" w:cs="Arial" w:eastAsia="Arial" w:hAnsi="Arial"/>
          <w:sz w:val="17"/>
          <w:szCs w:val="17"/>
          <w:color w:val="auto"/>
        </w:rPr>
        <w:t xml:space="preserve"> </w:t>
      </w:r>
      <w:r>
        <w:rPr>
          <w:rFonts w:ascii="Arial" w:cs="Arial" w:eastAsia="Arial" w:hAnsi="Arial"/>
          <w:sz w:val="17"/>
          <w:szCs w:val="17"/>
          <w:color w:val="231F20"/>
        </w:rPr>
        <w:t xml:space="preserve">operations and production plans will be scaled back or curtailed and, if any funds raised are insufficient to provide a bridge to full commercial production, its operations could be severely curtailed or cease entirely. </w:t>
      </w:r>
      <w:r>
        <w:rPr>
          <w:rFonts w:ascii="Arial" w:cs="Arial" w:eastAsia="Arial" w:hAnsi="Arial"/>
          <w:sz w:val="17"/>
          <w:szCs w:val="17"/>
          <w:color w:val="000000"/>
        </w:rPr>
        <w:t>The</w:t>
      </w:r>
      <w:r>
        <w:rPr>
          <w:rFonts w:ascii="Arial" w:cs="Arial" w:eastAsia="Arial" w:hAnsi="Arial"/>
          <w:sz w:val="17"/>
          <w:szCs w:val="17"/>
          <w:color w:val="231F20"/>
        </w:rPr>
        <w:t xml:space="preserve"> </w:t>
      </w:r>
      <w:r>
        <w:rPr>
          <w:rFonts w:ascii="Arial" w:cs="Arial" w:eastAsia="Arial" w:hAnsi="Arial"/>
          <w:sz w:val="17"/>
          <w:szCs w:val="17"/>
          <w:color w:val="000000"/>
        </w:rPr>
        <w:t>Company will be materially adversely affected if the Foxconn Transactions do not close. If the APA does not close, including because the Company is unable to fulfill its obligations to maintain its minimum cash balance commitments under the APA, the Company is unlikely to have sufficient available cash to repay Foxconn’s down payments. As a result, Foxconn may exercise its rights under the APA, including, but not limited to foreclosing on its liens on some or substantially all of the Company’s assets. Under such circumstances, the Company would not likely be able to continue as a going concern or realize any value from its assets.</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Immaterial Correction of Error</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previously issued financial statements have been revised to reclassify certain expenses that were inappropriately presented within the consolidated statement of operations. This resulted in the reclassification of $2.7 million of research and development expenses to selling and administrative expenses for the year ended December 31, 2020. The error did not impact net loss.</w:t>
      </w:r>
    </w:p>
    <w:p>
      <w:pPr>
        <w:spacing w:after="0" w:line="20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 xml:space="preserve">The Company, in consultation with the Audit Committee of the Board of Directors, evaluated the effect of these adjustments on the Company’s consolidated financial statements under ASC 250, </w:t>
      </w:r>
      <w:r>
        <w:rPr>
          <w:rFonts w:ascii="Arial" w:cs="Arial" w:eastAsia="Arial" w:hAnsi="Arial"/>
          <w:sz w:val="17"/>
          <w:szCs w:val="17"/>
          <w:i w:val="1"/>
          <w:iCs w:val="1"/>
          <w:color w:val="auto"/>
        </w:rPr>
        <w:t>Accounting Changes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Error Corrections </w:t>
      </w:r>
      <w:r>
        <w:rPr>
          <w:rFonts w:ascii="Arial" w:cs="Arial" w:eastAsia="Arial" w:hAnsi="Arial"/>
          <w:sz w:val="17"/>
          <w:szCs w:val="17"/>
          <w:color w:val="auto"/>
        </w:rPr>
        <w:t>and Staff Accounting Bulletin No. 108,</w:t>
      </w:r>
      <w:r>
        <w:rPr>
          <w:rFonts w:ascii="Arial" w:cs="Arial" w:eastAsia="Arial" w:hAnsi="Arial"/>
          <w:sz w:val="17"/>
          <w:szCs w:val="17"/>
          <w:i w:val="1"/>
          <w:iCs w:val="1"/>
          <w:color w:val="auto"/>
        </w:rPr>
        <w:t xml:space="preserve"> Considering the Effects of Prior Year Misstatements when Quantifying Misstatements in Current Year Financial Statements </w:t>
      </w:r>
      <w:r>
        <w:rPr>
          <w:rFonts w:ascii="Arial" w:cs="Arial" w:eastAsia="Arial" w:hAnsi="Arial"/>
          <w:sz w:val="17"/>
          <w:szCs w:val="17"/>
          <w:color w:val="auto"/>
        </w:rPr>
        <w:t>and determined it was not necessary to</w:t>
      </w:r>
      <w:r>
        <w:rPr>
          <w:rFonts w:ascii="Arial" w:cs="Arial" w:eastAsia="Arial" w:hAnsi="Arial"/>
          <w:sz w:val="17"/>
          <w:szCs w:val="17"/>
          <w:i w:val="1"/>
          <w:iCs w:val="1"/>
          <w:color w:val="auto"/>
        </w:rPr>
        <w:t xml:space="preserve"> </w:t>
      </w:r>
      <w:r>
        <w:rPr>
          <w:rFonts w:ascii="Arial" w:cs="Arial" w:eastAsia="Arial" w:hAnsi="Arial"/>
          <w:sz w:val="17"/>
          <w:szCs w:val="17"/>
          <w:color w:val="auto"/>
        </w:rPr>
        <w:t>recall its consolidated financial statements as the errors did not materially misstate those consolidated financial statements. The Company looked at both quantitative and qualitative characteristics of the required corrections.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34" w:lineRule="exact"/>
        <w:rPr>
          <w:sz w:val="20"/>
          <w:szCs w:val="20"/>
          <w:color w:val="auto"/>
        </w:rPr>
      </w:pPr>
    </w:p>
    <w:p>
      <w:pPr>
        <w:ind w:left="60" w:right="299"/>
        <w:spacing w:after="0" w:line="206" w:lineRule="exact"/>
        <w:rPr>
          <w:sz w:val="20"/>
          <w:szCs w:val="20"/>
          <w:color w:val="auto"/>
        </w:rPr>
      </w:pPr>
      <w:r>
        <w:rPr>
          <w:rFonts w:ascii="Arial" w:cs="Arial" w:eastAsia="Arial" w:hAnsi="Arial"/>
          <w:sz w:val="18"/>
          <w:szCs w:val="18"/>
          <w:color w:val="auto"/>
        </w:rPr>
        <w:t xml:space="preserve">The preparation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8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right="379"/>
        <w:spacing w:after="0" w:line="29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Deferred tax assets and liabilities are determined based on the difference between the consolidated financial statement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 xml:space="preserve">In June 2018, the Financial Accounting Standards Board (“FASB”) issued ASU 2018-07,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Nonemployee Share-Based Payment Accounting</w:t>
      </w:r>
      <w:r>
        <w:rPr>
          <w:rFonts w:ascii="Arial" w:cs="Arial" w:eastAsia="Arial" w:hAnsi="Arial"/>
          <w:sz w:val="18"/>
          <w:szCs w:val="18"/>
          <w:color w:val="auto"/>
        </w:rPr>
        <w:t>. ASU 2018-07</w:t>
      </w:r>
      <w:r>
        <w:rPr>
          <w:rFonts w:ascii="Arial" w:cs="Arial" w:eastAsia="Arial" w:hAnsi="Arial"/>
          <w:sz w:val="18"/>
          <w:szCs w:val="18"/>
          <w:i w:val="1"/>
          <w:iCs w:val="1"/>
          <w:color w:val="auto"/>
        </w:rPr>
        <w:t xml:space="preserve"> </w:t>
      </w:r>
      <w:r>
        <w:rPr>
          <w:rFonts w:ascii="Arial" w:cs="Arial" w:eastAsia="Arial" w:hAnsi="Arial"/>
          <w:sz w:val="18"/>
          <w:szCs w:val="18"/>
          <w:color w:val="auto"/>
        </w:rPr>
        <w:t>extends the scope of Topic 718 to include share-based payment transactions for acquiring goods and services from nonemployees. ASU 2018-07 amendments were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7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Topic 842”) to increase transparency and comparability among organizations by recognizing lease assets and lease liabilities on the balance sheet and disclosing key information about leasing arrangements. The Company adopted ASC 842 effective January 1, 2021 using the alternative transition method and elected to apply the new guidance at the adoption date without adjusting comparative periods presented. Comparative information has not been restated and will continue to be reported under accounting standards in effect for those periods. In adopting the new guidance, the Company elected to apply the package of transition practical expedients, which allows the Company not to reassess: (1) whether any expired or existing contracts contain leases under the new definition of a lease; (2) lease classification for any expired or existing leases; and (3) whether previously capitalized initial direct costs would qualify for capitalization under ASC 842. In addition, the Company has elected to apply the practical expedient to combine lease and related non-lease components, for all classes of underlying assets, and accounts for the combined contract as a lease component, as well as the election was made to apply the short-term lease recognition exemption. In transition, the Company did not elect to apply the hindsight practical expedient, which permits entities to use hindsight in determining the lease term and assessing impairment of right-of-use assets.</w:t>
      </w:r>
    </w:p>
    <w:p>
      <w:pPr>
        <w:spacing w:after="0" w:line="20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has leases which primarily consist of our Farmington Hills, Michigan and Irvine, California locations. The adoption of ASC 842 resulted in the recognition of a new right-of-use assets and lease liabilities on the balance sheet for all operating leases. As a result of the Company’s adoption on January 1, 2021, the Company recorded operating right-of-use assets and lease liabilities of $3.3 million. As of December 31, 2021, the Company had a right-of use asset and liability totaling $2.2 million.</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has the following warrants: (i) warrants (the “Public Warrants”) to purchase shares of Class A common stock, originally issued in our initial public offering (“Initial Public Offering”), (ii) warrants (the “Private Placement Warrants” and together with the Public Warrants and the BGL Warrants, the “Warrants”) to purchase Class A common stock issued in a private placement to our sponsor and anchor investor at the time of the Initial Public Offering, and (iii) the BGL Warrants. The rights of holders of the Warrants are governed by warrant agreements between American Stock Transfer &amp; Trust Company, as warrant agent, and the Company (the “Warrant Agreements”). The BGL Warrants are classified as equity as they qualify as share-based compensation under ASC Topic 718.</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Public and Private Warrants were recorded in the Company’s consolidated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and Private Warrants was $100.9 million as of the date of the Business Combination. The Public and Private Warrants are classified as a liability with any changes in the fair value recognized immediately in our consolidated statements of operations. During the quarter ended March 31, 2021, we received cash proceeds of approximately $82.0 million for the redemption of the remaining Public Warrants.</w:t>
      </w:r>
    </w:p>
    <w:p>
      <w:pPr>
        <w:spacing w:after="0" w:line="19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net gain (loss) on changes in fair value (in thousands) related to the Public and Private Warrants: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00" w:type="dxa"/>
            <w:vAlign w:val="bottom"/>
          </w:tcPr>
          <w:p>
            <w:pPr>
              <w:jc w:val="right"/>
              <w:ind w:right="477"/>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17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4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Public Warrants</w:t>
            </w: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(27,180)</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(17,920)</w:t>
            </w:r>
          </w:p>
        </w:tc>
      </w:tr>
      <w:tr>
        <w:trPr>
          <w:trHeight w:val="203"/>
        </w:trPr>
        <w:tc>
          <w:tcPr>
            <w:tcW w:w="4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15,307</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(5,573)</w:t>
            </w:r>
          </w:p>
        </w:tc>
      </w:tr>
      <w:tr>
        <w:trPr>
          <w:trHeight w:val="196"/>
        </w:trPr>
        <w:tc>
          <w:tcPr>
            <w:tcW w:w="4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on changes in fair value</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(11,873)</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(23,493)</w:t>
            </w:r>
          </w:p>
        </w:tc>
      </w:tr>
    </w:tbl>
    <w:p>
      <w:pPr>
        <w:spacing w:after="0" w:line="202"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As of December 31, 2021 and 2020, we had 3.9 million and 13.4 million Warrants outstanding, respectively. 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At each measurement date, we use a stock price volatility input of 50% for the Monte Carlo model.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0.458%, 0.413%, and 1.123% for the valuations as of October 23, 2020 and December 31, 2020 and 2021, respectively.</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rPr>
              <w:t>Prices with</w:t>
            </w:r>
          </w:p>
        </w:tc>
        <w:tc>
          <w:tcPr>
            <w:tcW w:w="34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active markets</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unobservable inputs</w:t>
            </w:r>
          </w:p>
        </w:tc>
      </w:tr>
      <w:tr>
        <w:trPr>
          <w:trHeight w:val="182"/>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244,016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244,016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351"/>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24"/>
                <w:szCs w:val="2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rPr>
              <w:t>Prices with</w:t>
            </w:r>
          </w:p>
        </w:tc>
        <w:tc>
          <w:tcPr>
            <w:tcW w:w="340" w:type="dxa"/>
            <w:vAlign w:val="bottom"/>
          </w:tcPr>
          <w:p>
            <w:pPr>
              <w:spacing w:after="0"/>
              <w:rPr>
                <w:sz w:val="24"/>
                <w:szCs w:val="2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active markets</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unobservable inputs</w:t>
            </w:r>
          </w:p>
        </w:tc>
      </w:tr>
      <w:tr>
        <w:trPr>
          <w:trHeight w:val="182"/>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629,761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629,761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57,515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57,515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43,877</w:t>
            </w:r>
          </w:p>
        </w:tc>
        <w:tc>
          <w:tcPr>
            <w:tcW w:w="28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43,877</w:t>
            </w:r>
          </w:p>
        </w:tc>
      </w:tr>
    </w:tbl>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rPr>
              <w:t>Loss / (Gain) on fair</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rPr>
              <w:t>Balance at</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14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Balance at</w:t>
            </w:r>
          </w:p>
        </w:tc>
      </w:tr>
      <w:tr>
        <w:trPr>
          <w:trHeight w:val="182"/>
        </w:trPr>
        <w:tc>
          <w:tcPr>
            <w:tcW w:w="76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Settlements</w:t>
            </w: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480" w:type="dxa"/>
            <w:vAlign w:val="bottom"/>
            <w:tcBorders>
              <w:bottom w:val="single" w:sz="8" w:color="auto"/>
            </w:tcBorders>
            <w:gridSpan w:val="2"/>
          </w:tcPr>
          <w:p>
            <w:pPr>
              <w:jc w:val="center"/>
              <w:ind w:left="73"/>
              <w:spacing w:after="0"/>
              <w:rPr>
                <w:sz w:val="20"/>
                <w:szCs w:val="20"/>
                <w:color w:val="auto"/>
              </w:rPr>
            </w:pPr>
            <w:r>
              <w:rPr>
                <w:rFonts w:ascii="Arial" w:cs="Arial" w:eastAsia="Arial" w:hAnsi="Arial"/>
                <w:sz w:val="14"/>
                <w:szCs w:val="14"/>
                <w:b w:val="1"/>
                <w:bCs w:val="1"/>
                <w:color w:val="auto"/>
              </w:rPr>
              <w:t>December 31, 2021</w:t>
            </w:r>
          </w:p>
        </w:tc>
      </w:tr>
      <w:tr>
        <w:trPr>
          <w:trHeight w:val="203"/>
        </w:trPr>
        <w:tc>
          <w:tcPr>
            <w:tcW w:w="2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580" w:type="dxa"/>
            <w:vAlign w:val="bottom"/>
            <w:shd w:val="clear" w:color="auto" w:fill="CCEEFF"/>
          </w:tcPr>
          <w:p>
            <w:pPr>
              <w:jc w:val="right"/>
              <w:ind w:right="40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43,877</w:t>
            </w:r>
          </w:p>
        </w:tc>
        <w:tc>
          <w:tcPr>
            <w:tcW w:w="12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(28,085)</w:t>
            </w:r>
          </w:p>
        </w:tc>
        <w:tc>
          <w:tcPr>
            <w:tcW w:w="1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(15,307)</w:t>
            </w:r>
          </w:p>
        </w:tc>
        <w:tc>
          <w:tcPr>
            <w:tcW w:w="76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r>
      <w:tr>
        <w:trPr>
          <w:trHeight w:val="473"/>
        </w:trPr>
        <w:tc>
          <w:tcPr>
            <w:tcW w:w="4940" w:type="dxa"/>
            <w:vAlign w:val="bottom"/>
            <w:gridSpan w:val="5"/>
          </w:tcPr>
          <w:p>
            <w:pPr>
              <w:ind w:left="20"/>
              <w:spacing w:after="0"/>
              <w:rPr>
                <w:sz w:val="20"/>
                <w:szCs w:val="20"/>
                <w:color w:val="auto"/>
              </w:rPr>
            </w:pPr>
            <w:r>
              <w:rPr>
                <w:rFonts w:ascii="Arial" w:cs="Arial" w:eastAsia="Arial" w:hAnsi="Arial"/>
                <w:sz w:val="18"/>
                <w:szCs w:val="18"/>
                <w:b w:val="1"/>
                <w:bCs w:val="1"/>
                <w:color w:val="auto"/>
              </w:rPr>
              <w:t>NOTE 4 — PROPERTY, PLANT AND EQUIPMENT</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9"/>
        </w:trPr>
        <w:tc>
          <w:tcPr>
            <w:tcW w:w="4940" w:type="dxa"/>
            <w:vAlign w:val="bottom"/>
            <w:gridSpan w:val="5"/>
          </w:tcPr>
          <w:p>
            <w:pPr>
              <w:ind w:left="20"/>
              <w:spacing w:after="0"/>
              <w:rPr>
                <w:sz w:val="20"/>
                <w:szCs w:val="20"/>
                <w:color w:val="auto"/>
              </w:rPr>
            </w:pPr>
            <w:r>
              <w:rPr>
                <w:rFonts w:ascii="Arial" w:cs="Arial" w:eastAsia="Arial" w:hAnsi="Arial"/>
                <w:sz w:val="18"/>
                <w:szCs w:val="18"/>
                <w:color w:val="auto"/>
                <w:w w:val="99"/>
              </w:rPr>
              <w:t>Property, plant and equipment, net, consisted of the following:</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72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760" w:type="dxa"/>
            <w:vAlign w:val="bottom"/>
          </w:tcPr>
          <w:p>
            <w:pPr>
              <w:spacing w:after="0"/>
              <w:rPr>
                <w:sz w:val="17"/>
                <w:szCs w:val="17"/>
                <w:color w:val="auto"/>
              </w:rPr>
            </w:pPr>
          </w:p>
        </w:tc>
        <w:tc>
          <w:tcPr>
            <w:tcW w:w="148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640" w:type="dxa"/>
            <w:vAlign w:val="bottom"/>
            <w:gridSpan w:val="2"/>
          </w:tcPr>
          <w:p>
            <w:pPr>
              <w:jc w:val="right"/>
              <w:ind w:right="40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060" w:type="dxa"/>
            <w:vAlign w:val="bottom"/>
            <w:gridSpan w:val="2"/>
          </w:tcPr>
          <w:p>
            <w:pPr>
              <w:spacing w:after="0" w:line="202" w:lineRule="exact"/>
              <w:rPr>
                <w:sz w:val="20"/>
                <w:szCs w:val="20"/>
                <w:color w:val="auto"/>
              </w:rPr>
            </w:pPr>
            <w:r>
              <w:rPr>
                <w:rFonts w:ascii="Arial" w:cs="Arial" w:eastAsia="Arial" w:hAnsi="Arial"/>
                <w:sz w:val="18"/>
                <w:szCs w:val="18"/>
                <w:color w:val="auto"/>
                <w:w w:val="98"/>
              </w:rPr>
              <w:t>Machinery and equipment</w:t>
            </w: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0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Construction in progress</w:t>
            </w:r>
          </w:p>
        </w:tc>
        <w:tc>
          <w:tcPr>
            <w:tcW w:w="9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337,124</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c>
          <w:tcPr>
            <w:tcW w:w="7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72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2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Less: Accumulated depreciation</w:t>
            </w:r>
          </w:p>
        </w:tc>
        <w:tc>
          <w:tcPr>
            <w:tcW w:w="1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1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7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Construction in progress includes retooling and construction at the Company's facility in Lordstown, Ohio and tooling held at various supplier locations. The Company is currently finalizing its production process, bringing acquired assets up to the level needed for commercial production and evaluating assets that will be necessary in the commercial production of the Endurance pickup truck. Completed assets will be transferred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99"/>
        <w:spacing w:after="0"/>
        <w:rPr>
          <w:sz w:val="20"/>
          <w:szCs w:val="20"/>
          <w:color w:val="auto"/>
        </w:rPr>
      </w:pPr>
      <w:r>
        <w:rPr>
          <w:rFonts w:ascii="Arial" w:cs="Arial" w:eastAsia="Arial" w:hAnsi="Arial"/>
          <w:sz w:val="18"/>
          <w:szCs w:val="18"/>
          <w:color w:val="auto"/>
        </w:rPr>
        <w:t>to their respective asset classes and depreciation will begin when an asset is ready for its intended use. As of December 31, 2021, commercial scale manufacturing has not begun and thus no depreciation was recognized in 2021, 2020 or 2019.</w:t>
      </w:r>
    </w:p>
    <w:p>
      <w:pPr>
        <w:spacing w:after="0" w:line="20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Property, plant and equipment also includes the manufacturing plant in Lordstown, Ohio which was purchased from GM in November 2019 for $20.0 million, recorded as a related party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As of the date of the Business Combination, our related party note payable for the plant and interest totaled $20.8 million and was settled as part of the Business Combination.</w:t>
      </w:r>
    </w:p>
    <w:p>
      <w:pPr>
        <w:spacing w:after="0" w:line="203"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10. During the quarter ended June 30, 2020, the Company sold equipment which it determined was not necessary for production which resulted in a gain on sale of the asset for $2.3 million.</w:t>
      </w:r>
    </w:p>
    <w:p>
      <w:pPr>
        <w:spacing w:after="0" w:line="202" w:lineRule="exact"/>
        <w:rPr>
          <w:sz w:val="20"/>
          <w:szCs w:val="20"/>
          <w:color w:val="auto"/>
        </w:rPr>
      </w:pPr>
    </w:p>
    <w:p>
      <w:pPr>
        <w:ind w:left="60" w:right="639" w:firstLine="324"/>
        <w:spacing w:after="0" w:line="246" w:lineRule="auto"/>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Class A common stock as part of the Business Combination.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NOTE PAYABLE</w:t>
      </w:r>
    </w:p>
    <w:p>
      <w:pPr>
        <w:spacing w:after="0" w:line="234"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On April 17, 2020, Lordstown entered into a Promissory Note with The Huntington National Bank, which provides for a loan in the amount of $1 million (the “PPP Loan”) pursuant to the Paycheck Protection Program under the Coronavirus Aid, Relief, and Economic Security Act (the “CARES Act”). The PPP Loan had a two-year term and bears interest at a rate of 1.0% per annum. The Paycheck Protection Program provides that the</w:t>
      </w:r>
    </w:p>
    <w:p>
      <w:pPr>
        <w:spacing w:after="0" w:line="2" w:lineRule="exact"/>
        <w:rPr>
          <w:sz w:val="20"/>
          <w:szCs w:val="20"/>
          <w:color w:val="auto"/>
        </w:rPr>
      </w:pPr>
    </w:p>
    <w:p>
      <w:pPr>
        <w:ind w:left="60" w:right="159" w:hanging="10"/>
        <w:spacing w:after="0" w:line="246" w:lineRule="auto"/>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 may be partially or wholly forgiven if the funds are used for certain qualifying expenses as described in the CARES Act. During the quarter ended June 30, 2021, our $1.0 million loan was forgiven.</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quarter ended September 30, 2020, the Company entered into “Placement Agency Agreements” with Maxim Group, LLC (“Maxim”) and existing shareholders. Pursuant to the terms of the Placement Agency Agreements, the Company issued “Convertible Promissory Notes” to a series of investors for proceeds worth $37.8 million net of transaction costs. In connection with the Closing described in Note 1, the Company issued an aggregate of approximately 4 million shares of Class A Common Stock in exchange for the Convertible Promissory Notes which we reflected as a noncash transaction on the statement of cash flow.</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STOCK-BASED COMPENSATION</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Legacy LMC’s 2019 Stock Option Plan (the “2019 Plan”) provides for the grant of incentive stock options (“ISO”) or non-qualified stock options (“NQSO) to purchase Legacy LMC common stock to officers, employees, directors, and consultants of Legacy LMC.</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Each Legacy LMC option from the 2019 Plan that was outstanding immediately prior to the Business Combination, whether vested or unvested, was converted into an option under the 2020 Plan (defined below) to purchase a number of shares of Class A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39"/>
        <w:spacing w:after="0" w:line="274" w:lineRule="auto"/>
        <w:rPr>
          <w:sz w:val="20"/>
          <w:szCs w:val="20"/>
          <w:color w:val="auto"/>
        </w:rPr>
      </w:pPr>
      <w:r>
        <w:rPr>
          <w:rFonts w:ascii="Arial" w:cs="Arial" w:eastAsia="Arial" w:hAnsi="Arial"/>
          <w:sz w:val="17"/>
          <w:szCs w:val="17"/>
          <w:color w:val="auto"/>
        </w:rPr>
        <w:t>the corresponding former Legacy LMC option immediately prior to the consummation of the Business Combination. All stock option activity was retroactively restated to reflect the exchanged options.</w:t>
      </w:r>
    </w:p>
    <w:p>
      <w:pPr>
        <w:spacing w:after="0" w:line="17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At the Company’s special meeting of stockholders held on October 22, 2020, the stockholders approved the 2020 Equity Incentive Plan (the “2020 Plan”). The aggregate number of additional shares authorized for issuance under the 2020 plan will not exceed 13 million. The 2020 Plan provides for the grant of stock options, restricted stock, restricted stock units (RSUs), stock appreciation rights, and performance units and performance shares intended to attract, retain, incentivize and reward employees, directors or consultants.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Options</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ISO and NQSO shall not be less than 100% of the estimated fair value of the shares on the date of grant, and (ii) the exercise price of an ISO granted to a 10% shareholder shall not be less than 110% of the estimated fair value of the shares on the date of grant. Options generally become exercisable between one and four years after the date of grant and expire ten years from the date of the grant.</w:t>
      </w:r>
    </w:p>
    <w:p>
      <w:pPr>
        <w:spacing w:after="0" w:line="203" w:lineRule="exact"/>
        <w:rPr>
          <w:sz w:val="20"/>
          <w:szCs w:val="20"/>
          <w:color w:val="auto"/>
        </w:rPr>
      </w:pPr>
    </w:p>
    <w:p>
      <w:pPr>
        <w:ind w:left="60" w:right="159"/>
        <w:spacing w:after="0" w:line="234"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 expense is recognized on a straight-line basis over the vesting period of the awards. The weighted-average grant date fair value of stock options granted to employees in 2021, 2020, and 2019</w:t>
      </w:r>
    </w:p>
    <w:p>
      <w:pPr>
        <w:spacing w:after="0" w:line="2"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was $5.76 per share, $1.08 per share, and $1.09 per share, respectively. The estimated fair value of each stock option grant was computed using the following weighted average assumptions: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4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1.73-1.93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Expected term (life) of options (in years)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dividends</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17"/>
        </w:trPr>
        <w:tc>
          <w:tcPr>
            <w:tcW w:w="5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bl>
    <w:p>
      <w:pPr>
        <w:spacing w:after="0" w:line="200" w:lineRule="exact"/>
        <w:rPr>
          <w:sz w:val="20"/>
          <w:szCs w:val="20"/>
          <w:color w:val="auto"/>
        </w:rPr>
      </w:pP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expected volatility was estimated by management based on results from public companies in the industry. The expected life of options granted in 2021 was estimated based on historical option exercise data as compared to previous years when the expected term of the awards granted was assumed to be the contract life of the option. The risk-free rate of return was based on market yields in effect on the date of each grant for United States Treasury debt securities with a maturity equal to the expected term of the award. The expected dividends are zero as the Company has not historically 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stock options are summarized as follows:</w:t>
      </w:r>
    </w:p>
    <w:p>
      <w:pPr>
        <w:spacing w:after="0" w:line="19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(in thousands except for per option values and years)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 Average</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r>
      <w:tr>
        <w:trPr>
          <w:trHeight w:val="175"/>
        </w:trPr>
        <w:tc>
          <w:tcPr>
            <w:tcW w:w="40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1260" w:type="dxa"/>
            <w:vAlign w:val="bottom"/>
          </w:tcPr>
          <w:p>
            <w:pPr>
              <w:jc w:val="right"/>
              <w:ind w:right="113"/>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196"/>
        </w:trPr>
        <w:tc>
          <w:tcPr>
            <w:tcW w:w="4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April 30, 2019</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4,436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4000" w:type="dxa"/>
            <w:vAlign w:val="bottom"/>
          </w:tcPr>
          <w:p>
            <w:pPr>
              <w:ind w:left="20"/>
              <w:spacing w:after="0" w:line="196" w:lineRule="exact"/>
              <w:rPr>
                <w:sz w:val="20"/>
                <w:szCs w:val="20"/>
                <w:color w:val="auto"/>
              </w:rPr>
            </w:pPr>
            <w:r>
              <w:rPr>
                <w:rFonts w:ascii="Arial" w:cs="Arial" w:eastAsia="Arial" w:hAnsi="Arial"/>
                <w:sz w:val="18"/>
                <w:szCs w:val="18"/>
                <w:color w:val="auto"/>
              </w:rPr>
              <w:t>Outstanding, December 31, 2019</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4,352</w:t>
            </w: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5,373</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5,545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7.8</w:t>
            </w:r>
          </w:p>
        </w:tc>
        <w:tc>
          <w:tcPr>
            <w:tcW w:w="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Exercisable, December 31, 2021</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3.2</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2,224</w:t>
            </w:r>
          </w:p>
        </w:tc>
      </w:tr>
    </w:tbl>
    <w:p>
      <w:pPr>
        <w:spacing w:after="0" w:line="397" w:lineRule="exact"/>
        <w:rPr>
          <w:sz w:val="20"/>
          <w:szCs w:val="20"/>
          <w:color w:val="auto"/>
        </w:rPr>
      </w:pPr>
    </w:p>
    <w:p>
      <w:pPr>
        <w:ind w:left="60" w:right="139"/>
        <w:spacing w:after="0" w:line="248" w:lineRule="auto"/>
        <w:rPr>
          <w:sz w:val="20"/>
          <w:szCs w:val="20"/>
          <w:color w:val="auto"/>
        </w:rPr>
      </w:pPr>
      <w:r>
        <w:rPr>
          <w:rFonts w:ascii="Arial" w:cs="Arial" w:eastAsia="Arial" w:hAnsi="Arial"/>
          <w:sz w:val="17"/>
          <w:szCs w:val="17"/>
          <w:color w:val="auto"/>
        </w:rPr>
        <w:t>*The aggregate intrinsic value is calculated as the difference between the market value of our Class A common stock as of December 31, 2021 and the respective exercise prices of the options. The market value as</w:t>
      </w:r>
    </w:p>
    <w:p>
      <w:pPr>
        <w:spacing w:after="0" w:line="1" w:lineRule="exact"/>
        <w:rPr>
          <w:sz w:val="20"/>
          <w:szCs w:val="20"/>
          <w:color w:val="auto"/>
        </w:rPr>
      </w:pPr>
    </w:p>
    <w:p>
      <w:pPr>
        <w:ind w:left="60" w:right="639"/>
        <w:spacing w:after="0" w:line="246" w:lineRule="auto"/>
        <w:rPr>
          <w:sz w:val="20"/>
          <w:szCs w:val="20"/>
          <w:color w:val="auto"/>
        </w:rPr>
      </w:pPr>
      <w:r>
        <w:rPr>
          <w:rFonts w:ascii="Arial" w:cs="Arial" w:eastAsia="Arial" w:hAnsi="Arial"/>
          <w:sz w:val="18"/>
          <w:szCs w:val="18"/>
          <w:color w:val="auto"/>
        </w:rPr>
        <w:t>of December 31, 2021 was $3.45 per share, which is the closing sale price of our Class A common stock on December 31, 2021, as reported by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details of our exercisable stock options and stock options outstanding are summarized as follows:</w:t>
      </w:r>
    </w:p>
    <w:p>
      <w:pPr>
        <w:spacing w:after="0" w:line="19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 thousands except for per exercise prices and years)</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4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Options Exercisable</w:t>
            </w:r>
          </w:p>
        </w:tc>
      </w:tr>
      <w:tr>
        <w:trPr>
          <w:trHeight w:val="142"/>
        </w:trPr>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Weighted Average</w:t>
            </w:r>
          </w:p>
        </w:tc>
        <w:tc>
          <w:tcPr>
            <w:tcW w:w="14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 Average</w:t>
            </w:r>
          </w:p>
        </w:tc>
      </w:tr>
      <w:tr>
        <w:trPr>
          <w:trHeight w:val="162"/>
        </w:trPr>
        <w:tc>
          <w:tcPr>
            <w:tcW w:w="120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Range of</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Exercise Prices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Contractual Term</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Price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42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$1.79</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1,787</w:t>
            </w:r>
          </w:p>
        </w:tc>
        <w:tc>
          <w:tcPr>
            <w:tcW w:w="1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4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$5.69</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1,758</w:t>
            </w: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$11.41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 $16.22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$26.77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8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r>
    </w:tbl>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24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calculate the grant date fair value of RSUs using the closing sale price of our Class A common stock on the grant date, as reported by the Nasdaq Global Select Market. The fair value of the unvested restricted stock units is recognized on a straight-line basis over the respective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RSUs are summarized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fair values)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r>
      <w:tr>
        <w:trPr>
          <w:trHeight w:val="175"/>
        </w:trPr>
        <w:tc>
          <w:tcPr>
            <w:tcW w:w="5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12/31/2021</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Awarded</w:t>
            </w:r>
          </w:p>
        </w:tc>
        <w:tc>
          <w:tcPr>
            <w:tcW w:w="840" w:type="dxa"/>
            <w:vAlign w:val="bottom"/>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28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w:t>
            </w: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aggregate intrinsic value is calculated using the market value of our Class A common stock as</w:t>
      </w:r>
    </w:p>
    <w:p>
      <w:pPr>
        <w:ind w:left="60" w:right="299"/>
        <w:spacing w:after="0"/>
        <w:rPr>
          <w:sz w:val="20"/>
          <w:szCs w:val="20"/>
          <w:color w:val="auto"/>
        </w:rPr>
      </w:pPr>
      <w:r>
        <w:rPr>
          <w:rFonts w:ascii="Arial" w:cs="Arial" w:eastAsia="Arial" w:hAnsi="Arial"/>
          <w:sz w:val="18"/>
          <w:szCs w:val="18"/>
          <w:color w:val="auto"/>
        </w:rPr>
        <w:t>of December 31, 2021. The market value as of December 31, 2021 was $3.45 per share, which is the closing sale price of our Class A common stock on December 31, 2021, as reported by the Nasdaq Global Select Market.</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Total stock-based compensation expense for the years ended December 31, 2021, and 2020, and for the period from April 30, 2019 to December 31, 2019 was $18.7 million, $2.8 million and $0.3 million, respectively. As of December 31, 2021, 2020 and 2019, unrecognized compensation expense was $63.7 million, $2.7 million and $4.4 million, respectively, for unvested options and awards.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CAPITAL STOCK AND EARNINGS PER SHARE</w:t>
      </w:r>
    </w:p>
    <w:p>
      <w:pPr>
        <w:spacing w:after="0" w:line="234"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196.4 million, </w:t>
      </w:r>
      <w:r>
        <w:rPr>
          <w:rFonts w:ascii="Arial" w:cs="Arial" w:eastAsia="Arial" w:hAnsi="Arial"/>
          <w:sz w:val="18"/>
          <w:szCs w:val="18"/>
          <w:color w:val="000000"/>
        </w:rPr>
        <w:t>168.0 million and 68.3 million shares of Class A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 of</w:t>
      </w:r>
      <w:r>
        <w:rPr>
          <w:rFonts w:ascii="Arial" w:cs="Arial" w:eastAsia="Arial" w:hAnsi="Arial"/>
          <w:sz w:val="18"/>
          <w:szCs w:val="18"/>
          <w:color w:val="231F20"/>
        </w:rPr>
        <w:t xml:space="preserve"> </w:t>
      </w:r>
      <w:r>
        <w:rPr>
          <w:rFonts w:ascii="Arial" w:cs="Arial" w:eastAsia="Arial" w:hAnsi="Arial"/>
          <w:sz w:val="18"/>
          <w:szCs w:val="18"/>
          <w:color w:val="000000"/>
        </w:rPr>
        <w:t>December 31, 2021, 2020 and 2019, respectively.</w:t>
      </w:r>
    </w:p>
    <w:p>
      <w:pPr>
        <w:spacing w:after="0" w:line="205"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year ended December 31, 2021 our share equivalent included 3.8 million options,1.6 million BGL Warrants, and 2.3 million Private Warrants outstanding. For the year ended December 31, 2020 our share equivalent included 5.3 million options,1.6 million BGL Warrants, 6.6 million Public Warrants and 5.1 million Private Warrants outstanding. None of the stock options or warrants were included in the calculation of diluted EPS because we recorded a net loss for the years ended December 31, 2021 and 2020 as including these instruments would be anti-dilutive.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2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15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Year ended</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For the period from April 30, 2019</w:t>
            </w:r>
          </w:p>
        </w:tc>
      </w:tr>
      <w:tr>
        <w:trPr>
          <w:trHeight w:val="207"/>
        </w:trPr>
        <w:tc>
          <w:tcPr>
            <w:tcW w:w="288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December 31, 2021</w:t>
            </w:r>
          </w:p>
        </w:tc>
        <w:tc>
          <w:tcPr>
            <w:tcW w:w="15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December 31, 2020</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to December 31, 2019</w:t>
            </w:r>
          </w:p>
        </w:tc>
      </w:tr>
      <w:tr>
        <w:trPr>
          <w:trHeight w:val="182"/>
        </w:trPr>
        <w:tc>
          <w:tcPr>
            <w:tcW w:w="28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Basic and diluted weighted</w:t>
            </w:r>
          </w:p>
        </w:tc>
        <w:tc>
          <w:tcPr>
            <w:tcW w:w="1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spacing w:after="0"/>
              <w:rPr>
                <w:sz w:val="15"/>
                <w:szCs w:val="15"/>
                <w:color w:val="auto"/>
              </w:rPr>
            </w:pPr>
          </w:p>
        </w:tc>
      </w:tr>
      <w:tr>
        <w:trPr>
          <w:trHeight w:val="203"/>
        </w:trPr>
        <w:tc>
          <w:tcPr>
            <w:tcW w:w="28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average shares outstanding</w:t>
            </w: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180,722</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96,716</w:t>
            </w:r>
          </w:p>
        </w:tc>
        <w:tc>
          <w:tcPr>
            <w:tcW w:w="60" w:type="dxa"/>
            <w:vAlign w:val="bottom"/>
            <w:shd w:val="clear" w:color="auto" w:fill="CCEEFF"/>
          </w:tcPr>
          <w:p>
            <w:pPr>
              <w:spacing w:after="0"/>
              <w:rPr>
                <w:sz w:val="17"/>
                <w:szCs w:val="17"/>
                <w:color w:val="auto"/>
              </w:rPr>
            </w:pPr>
          </w:p>
        </w:tc>
        <w:tc>
          <w:tcPr>
            <w:tcW w:w="2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68,279</w:t>
            </w:r>
          </w:p>
        </w:tc>
      </w:tr>
    </w:tbl>
    <w:p>
      <w:pPr>
        <w:spacing w:after="0" w:line="200" w:lineRule="exact"/>
        <w:rPr>
          <w:sz w:val="20"/>
          <w:szCs w:val="20"/>
          <w:color w:val="auto"/>
        </w:rPr>
      </w:pPr>
    </w:p>
    <w:p>
      <w:pPr>
        <w:spacing w:after="0" w:line="218" w:lineRule="exact"/>
        <w:rPr>
          <w:sz w:val="20"/>
          <w:szCs w:val="20"/>
          <w:color w:val="auto"/>
        </w:rPr>
      </w:pPr>
    </w:p>
    <w:p>
      <w:pPr>
        <w:jc w:val="both"/>
        <w:ind w:left="60" w:right="119"/>
        <w:spacing w:after="0" w:line="246"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an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committed to purchase up to $400 million of our Class A common stock, at our direction from time 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37" w:lineRule="auto"/>
        <w:rPr>
          <w:sz w:val="20"/>
          <w:szCs w:val="20"/>
          <w:color w:val="auto"/>
        </w:rPr>
      </w:pPr>
      <w:r>
        <w:rPr>
          <w:rFonts w:ascii="Arial" w:cs="Arial" w:eastAsia="Arial" w:hAnsi="Arial"/>
          <w:sz w:val="18"/>
          <w:szCs w:val="18"/>
          <w:color w:val="231F20"/>
        </w:rPr>
        <w:t xml:space="preserve">time, subject to the satisfaction of certain conditions. </w:t>
      </w:r>
      <w:r>
        <w:rPr>
          <w:rFonts w:ascii="Arial" w:cs="Arial" w:eastAsia="Arial" w:hAnsi="Arial"/>
          <w:sz w:val="18"/>
          <w:szCs w:val="18"/>
          <w:color w:val="000000"/>
        </w:rPr>
        <w:t>Such sales of Class A common stock, are subject to</w:t>
      </w:r>
      <w:r>
        <w:rPr>
          <w:rFonts w:ascii="Arial" w:cs="Arial" w:eastAsia="Arial" w:hAnsi="Arial"/>
          <w:sz w:val="18"/>
          <w:szCs w:val="18"/>
          <w:color w:val="231F20"/>
        </w:rPr>
        <w:t xml:space="preserve"> </w:t>
      </w:r>
      <w:r>
        <w:rPr>
          <w:rFonts w:ascii="Arial" w:cs="Arial" w:eastAsia="Arial" w:hAnsi="Arial"/>
          <w:sz w:val="18"/>
          <w:szCs w:val="18"/>
          <w:color w:val="000000"/>
        </w:rPr>
        <w:t>certain limitations, and may occur from time to time at our sole 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20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Under applicable Nasdaq rules and the Equity Purchase Agreement, we will not sell to YA shares of our Class A common stock in excess of 35.1 million shares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Common Shares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is equal to the lesser of: (i) an amount equal to thirty percent (30%) of the 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of the conditions under the Equity Purchase Agreement, we may deliver Advance Notices from time to time, provided that we have delivered all shares relating to all prior Advance Notices. The purchase price of the shares of Class A common stock will be equal to 97% of the simple average of the daily VWAPs for the three trading days following the Advance Notice as set forth in the Equity Purchase Agreement.</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91" w:lineRule="exact"/>
        <w:rPr>
          <w:sz w:val="20"/>
          <w:szCs w:val="20"/>
          <w:color w:val="auto"/>
        </w:rPr>
      </w:pPr>
    </w:p>
    <w:p>
      <w:pPr>
        <w:ind w:left="60" w:right="1379"/>
        <w:spacing w:after="0" w:line="274" w:lineRule="auto"/>
        <w:rPr>
          <w:sz w:val="20"/>
          <w:szCs w:val="20"/>
          <w:color w:val="auto"/>
        </w:rPr>
      </w:pPr>
      <w:r>
        <w:rPr>
          <w:rFonts w:ascii="Arial" w:cs="Arial" w:eastAsia="Arial" w:hAnsi="Arial"/>
          <w:sz w:val="17"/>
          <w:szCs w:val="17"/>
          <w:color w:val="231F20"/>
        </w:rPr>
        <w:t>During the year ended December 31, 2021, inclusive of the 0.4 million Commitment Shares, we issued 9.6 million shares to YA and received $49.4 million cash, net of equity issuance costs.</w:t>
      </w:r>
    </w:p>
    <w:p>
      <w:pPr>
        <w:spacing w:after="0" w:line="175" w:lineRule="exact"/>
        <w:rPr>
          <w:sz w:val="20"/>
          <w:szCs w:val="20"/>
          <w:color w:val="auto"/>
        </w:rPr>
      </w:pPr>
    </w:p>
    <w:p>
      <w:pPr>
        <w:ind w:left="60" w:right="539"/>
        <w:spacing w:after="0"/>
        <w:rPr>
          <w:sz w:val="20"/>
          <w:szCs w:val="20"/>
          <w:color w:val="auto"/>
        </w:rPr>
      </w:pPr>
      <w:r>
        <w:rPr>
          <w:rFonts w:ascii="Arial" w:cs="Arial" w:eastAsia="Arial" w:hAnsi="Arial"/>
          <w:sz w:val="18"/>
          <w:szCs w:val="18"/>
          <w:color w:val="auto"/>
        </w:rPr>
        <w:t>As of December 31, 2021, we were in compliance with the terms and conditions of the Equity Purchase Agreement and the remaining availability under the Equity Purchase Agreement was $350 million which is subject to certain limitations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w:t>
      </w:r>
    </w:p>
    <w:p>
      <w:pPr>
        <w:ind w:left="60"/>
        <w:spacing w:after="0"/>
        <w:rPr>
          <w:sz w:val="20"/>
          <w:szCs w:val="20"/>
          <w:color w:val="auto"/>
        </w:rPr>
      </w:pPr>
      <w:r>
        <w:rPr>
          <w:rFonts w:ascii="Arial" w:cs="Arial" w:eastAsia="Arial" w:hAnsi="Arial"/>
          <w:sz w:val="18"/>
          <w:szCs w:val="18"/>
          <w:color w:val="auto"/>
        </w:rPr>
        <w:t>December 31:</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rate)</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9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Rate</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90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Rate</w:t>
            </w: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Rate</w:t>
            </w:r>
          </w:p>
        </w:tc>
      </w:tr>
      <w:tr>
        <w:trPr>
          <w:trHeight w:val="196"/>
        </w:trPr>
        <w:tc>
          <w:tcPr>
            <w:tcW w:w="3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tax benefit as statutory rates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(86,177)</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tcBorders>
              <w:top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78"/>
              </w:rPr>
              <w:t>%</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(26,050)</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96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&amp; Local Taxes/ Other</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w:t>
            </w: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tcPr>
          <w:p>
            <w:pPr>
              <w:spacing w:after="0"/>
              <w:rPr>
                <w:sz w:val="18"/>
                <w:szCs w:val="18"/>
                <w:color w:val="auto"/>
              </w:rPr>
            </w:pPr>
          </w:p>
        </w:tc>
      </w:tr>
      <w:tr>
        <w:trPr>
          <w:trHeight w:val="196"/>
        </w:trPr>
        <w:tc>
          <w:tcPr>
            <w:tcW w:w="3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tax benefit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78"/>
              </w:rPr>
              <w: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Share based compensation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2,288</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and other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113,999</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w:t>
            </w:r>
          </w:p>
        </w:tc>
        <w:tc>
          <w:tcPr>
            <w:tcW w:w="20" w:type="dxa"/>
            <w:vAlign w:val="bottom"/>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118,407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27,986</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(118,407)</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20" w:type="dxa"/>
            <w:vAlign w:val="bottom"/>
          </w:tcPr>
          <w:p>
            <w:pPr>
              <w:spacing w:after="0"/>
              <w:rPr>
                <w:sz w:val="18"/>
                <w:szCs w:val="18"/>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Company had $712.4 million and $131.2 million of net operating losses as of December 31, 2021 and 2020, respectively. No income taxes were paid during 2021, 2020 or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 Company has entered into a supply agreement with Samsung to purchase lithium-ion cylindrical battery cells. The agreement provides for certain pricing and minimum quantity parameters, including our obligation to purchase such minimum amounts which total approximately $16.3 million in 2022, subject to change for increases in raw material pricing.</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As of December 31, 2021, we have not established accruals or reserves as to most of our proceedings. Our provisions are based on historical experience, current information and legal advice, and they may be adjusted in the future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based on new developments. Estimating probable losses requires the analysis of multiple forecasted factors that often depend on judgments and potential actions by third parties.</w:t>
      </w:r>
    </w:p>
    <w:p>
      <w:pPr>
        <w:spacing w:after="0" w:line="19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20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8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10, 2022, the Court issued a tentative ruling denying Karma’s request for terminating sanctions but ordering Mr. Post and the Company to reimburse Karma for the costs incurred by Karma as a result of Mr. Post’s and the Company’s failure to comply with the Court’s orders, including attorneys’ fees and costs related to the filing of Karma’s motion for sanctions. Karma has yet to file a request for this reimbursement.</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is now scheduled to close on July 5, 2022. There are no other case deadlines or a scheduled trial date at this time. A status conference with the District Court has been set for March 7, 2022, at which time we expect case deadlines and a trial date to be established.</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al.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w:t>
      </w:r>
    </w:p>
    <w:p>
      <w:pPr>
        <w:spacing w:after="0" w:line="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their motion to dismiss on November 9, 2021, and plaintiffs filed their opposition on January 17, 2022. The motion to dismiss will be fully briefed by March 3,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The motion is fully briefed as of December 22, 2021. 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On January 18, 2022, the defendants filed a motion to stay pending resolution of the consolidated securities class action. The parties do not yet have a schedule for briefing the motion to stay or responding to the complaint. A second related stockholder derivative lawsuit was filed in the Delaware Court of Chancery on February 18, 2022 (Jackson v. Burns, et al. (C.A. No. 2022-0164)), also asserting breach of fiduciary duties, unjust enrichment, and insider selling, based on similar facts as the federal derivative actions. The parties do not yet have a schedule for responding to the complaint.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98" w:lineRule="exact"/>
        <w:rPr>
          <w:sz w:val="20"/>
          <w:szCs w:val="20"/>
          <w:color w:val="auto"/>
        </w:rPr>
      </w:pPr>
    </w:p>
    <w:p>
      <w:pPr>
        <w:ind w:left="60" w:right="259"/>
        <w:spacing w:after="0" w:line="251" w:lineRule="auto"/>
        <w:rPr>
          <w:sz w:val="20"/>
          <w:szCs w:val="20"/>
          <w:color w:val="auto"/>
        </w:rPr>
      </w:pPr>
      <w:r>
        <w:rPr>
          <w:rFonts w:ascii="Arial" w:cs="Arial" w:eastAsia="Arial" w:hAnsi="Arial"/>
          <w:sz w:val="17"/>
          <w:szCs w:val="17"/>
          <w:color w:val="auto"/>
        </w:rPr>
        <w:t>On December 2, 2020, Detroit Utilities (“DTEL”) filed a complaint with the Trumbull County Common Pleas Court in Warren, Ohio alleging we breached a Utilities Services Agreement due to non-payment for services 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On January 13, 2022, Lordstown filed a Motion to Stay Execution of Judgement. DTEL opposed the motion on January 24, 2022, seeking $2.5 million, plus interest through the date of the court’s order. Lordstown filed a Notice of Appeal 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February 7, 2022 and is pursuing settlement discussions and, pending final disposition of the matter, the Company has accrued the judgement amount of $2.5 million as of December 31, 2021.</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January 10 and 18, 2022, the defendants filed motions to dismiss these actions.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are scheduled for oral argument on February 28, 2022. The motions to dismiss will be fully briefed on April 27, 2022 and are scheduled for oral argument on May 10, 2022.</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has also received two subpoenas from the SEC for the production of documents an</w:t>
      </w:r>
      <w:r>
        <w:rPr>
          <w:rFonts w:ascii="Arial" w:cs="Arial" w:eastAsia="Arial" w:hAnsi="Arial"/>
          <w:sz w:val="18"/>
          <w:szCs w:val="18"/>
          <w:color w:val="231F20"/>
        </w:rPr>
        <w:t>d information,</w:t>
      </w:r>
      <w:r>
        <w:rPr>
          <w:rFonts w:ascii="Arial" w:cs="Arial" w:eastAsia="Arial" w:hAnsi="Arial"/>
          <w:sz w:val="18"/>
          <w:szCs w:val="18"/>
          <w:color w:val="auto"/>
        </w:rPr>
        <w:t xml:space="preserve"> </w:t>
      </w:r>
      <w:r>
        <w:rPr>
          <w:rFonts w:ascii="Arial" w:cs="Arial" w:eastAsia="Arial" w:hAnsi="Arial"/>
          <w:sz w:val="18"/>
          <w:szCs w:val="18"/>
          <w:color w:val="231F20"/>
        </w:rPr>
        <w:t>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202"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“GM Agreements”) with GM. Pursuant to the GM Agreements, the Company incurred debt to GM recorded as a related party note payable in the principal amount of $20.0 million, secured by the real property described in Note 4. The Company had imputed interest of 5% on the related party note payable until February 1, 2020 when the stated interest rate of 7% began per the terms of the GM Agreement. As of the date of the Business Combination, our related party note payable for the plant and interest totaled $20.8 million and was settled as part of the Business Combination.</w:t>
      </w:r>
    </w:p>
    <w:p>
      <w:pPr>
        <w:spacing w:after="0" w:line="20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conjunction with the Operating Agreement described above, the Company was also required to reimburse GM for expenditures related to general plant maintenance and compliance associated with the Lordstown facility. The Company recorded expenses of $2.1 million and $2.6 million during the year ended December 31, 2021 and the period from April 30, 2019 to December 31, 2019, respectively. Additionally, the Company also purchased property from GM for $1.2 million which was recorded to CIP. As of the date of the Closing, we had accrued a total of $5.9 million as a Due to Related Party liability which was converted to equity as part of the Business Combination.</w:t>
      </w:r>
    </w:p>
    <w:p>
      <w:pPr>
        <w:spacing w:after="0" w:line="20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$ 10.0 million secured by the Company’s property, plant and equipment and intangible assets. Pursuant to the terms of the Convertible Note, the Company had the ability to periodically draw down on the Convertible Note to meet its working capital needs. The Convertible Note had a $5.0 million balance at the closing of the Business Combination and was converted to equity as described in Note 1.</w:t>
      </w:r>
    </w:p>
    <w:p>
      <w:pPr>
        <w:spacing w:after="0" w:line="205" w:lineRule="exact"/>
        <w:rPr>
          <w:sz w:val="20"/>
          <w:szCs w:val="20"/>
          <w:color w:val="auto"/>
        </w:rPr>
      </w:pPr>
    </w:p>
    <w:p>
      <w:pPr>
        <w:ind w:left="60" w:right="239"/>
        <w:spacing w:after="0" w:line="274" w:lineRule="auto"/>
        <w:rPr>
          <w:sz w:val="20"/>
          <w:szCs w:val="20"/>
          <w:color w:val="auto"/>
        </w:rPr>
      </w:pPr>
      <w:r>
        <w:rPr>
          <w:rFonts w:ascii="Arial" w:cs="Arial" w:eastAsia="Arial" w:hAnsi="Arial"/>
          <w:sz w:val="17"/>
          <w:szCs w:val="17"/>
          <w:color w:val="auto"/>
        </w:rPr>
        <w:t>In August 2020, we entered into an emissions credit agreement with GM pursuant to which, and subject to the terms of which, during the first three annual production/model years wherein we produce vehicles at least ten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2023, 2024 and 2025, it is possible that this agreement could extend beyond these model years if we do not achieve ten or more months of production during those annual production/model years.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As of December 31, 2020, intangible assets included patents, copyrights, trade secrets, know-how, software, and all other intellectual property and proprietary rights connected with the electric pickup truck and other electric vehicle technology owned by Workhorse and contributed in exchange for equity in the Company.</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November 2020, we pre-paid a royalty payment to Workhorse Group in the amount of $4.75 million. The upfront royalty payment represented an advance on the royalties discussed above but only to the extent that the aggregate amount of such royalty fees exceeded the amount paid upfront. The upfront royalty payment was recorded as a prepaid expense and an other non-current assets as of December 31, 2020 and December 31, 2021, respectively.</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considered technologies we would use in future vehicles. Given the lack of Workhorse technology used in the Endurance and new management’s strategic direction of the Company, inclusive of the transactions contemplated with Foxconn as detailed in Note 1, we deemed it appropriate to change the useful life of the technology we acquired from Workhorse to zero months. As such, we recorded accelerated amortization of $11.1 million during the year ended December 31, 2021.</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208"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and Chief Financial Officer carried out an evaluation of the effectiveness of the design and operation of our disclosure controls and procedures as of December 31, 2021.</w:t>
      </w:r>
    </w:p>
    <w:p>
      <w:pPr>
        <w:spacing w:after="0" w:line="204" w:lineRule="exact"/>
        <w:rPr>
          <w:sz w:val="20"/>
          <w:szCs w:val="20"/>
          <w:color w:val="auto"/>
        </w:rPr>
      </w:pPr>
    </w:p>
    <w:p>
      <w:pPr>
        <w:ind w:left="60" w:right="799"/>
        <w:spacing w:after="0" w:line="274" w:lineRule="auto"/>
        <w:rPr>
          <w:sz w:val="20"/>
          <w:szCs w:val="20"/>
          <w:color w:val="auto"/>
        </w:rPr>
      </w:pPr>
      <w:r>
        <w:rPr>
          <w:rFonts w:ascii="Arial" w:cs="Arial" w:eastAsia="Arial" w:hAnsi="Arial"/>
          <w:sz w:val="17"/>
          <w:szCs w:val="17"/>
          <w:color w:val="auto"/>
        </w:rPr>
        <w:t>Based upon their evaluation, our Chief Executive Officer and Chief Financial Officer concluded that our disclosure controls and procedures were not effective due to the material weakness described below.</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34"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w:t>
      </w:r>
    </w:p>
    <w:p>
      <w:pPr>
        <w:spacing w:after="0" w:line="6" w:lineRule="exact"/>
        <w:rPr>
          <w:sz w:val="20"/>
          <w:szCs w:val="20"/>
          <w:color w:val="auto"/>
        </w:rPr>
      </w:pPr>
    </w:p>
    <w:p>
      <w:pPr>
        <w:ind w:left="60" w:right="119" w:hanging="10"/>
        <w:spacing w:after="0" w:line="238" w:lineRule="auto"/>
        <w:tabs>
          <w:tab w:leader="none" w:pos="3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under the oversight of our Board of Directors, has assessed the effectiveness of the Company’s internal control over financial reporting as of December 31, 2021 based on criteria established in the Internal Control-Integrated Framework in 2013 issued by the Committee of Sponsoring Organizations of the Treadway Commission (COSO). As a result of this assessment, management concluded that the following material weakness in internal control over financial reporting reported in our Annual Report on Form 10-K/A for our fiscal year ended December 31, 2020 continues to exist as of December 31, 2021:</w:t>
      </w:r>
    </w:p>
    <w:p>
      <w:pPr>
        <w:spacing w:after="0" w:line="203" w:lineRule="exact"/>
        <w:rPr>
          <w:sz w:val="20"/>
          <w:szCs w:val="20"/>
          <w:color w:val="auto"/>
        </w:rPr>
      </w:pPr>
    </w:p>
    <w:p>
      <w:pPr>
        <w:ind w:left="720" w:right="19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responsibilities and accountability for the design and operation of internal controls over financial reporting.</w:t>
      </w:r>
    </w:p>
    <w:p>
      <w:pPr>
        <w:spacing w:after="0" w:line="19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a consequence,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203"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These control deficiencies create a reasonable possibility that a material misstatement to the consolidated financial statements will not be prevented or detected on a timely basis, and therefore we conclude that the deficiencies represent a material weakness in internal control over financial reporting and our internal control over financial reporting is not effective as of December 31, 2021.</w:t>
      </w:r>
    </w:p>
    <w:p>
      <w:pPr>
        <w:spacing w:after="0" w:line="20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KPMG LLP, an independent registered public accounting firm, has audited the Company’s consolidated financial statements and has issued an adverse report on the effectiveness of internal control over financial reporting, which is included herein.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Remediation Plan</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Since identification of the material weaknesses that existed as of the year ended December 31, 2020, our management believes that we have made extensive changes to implement our remediation plan during 2021. The Board and management, with the assistance of our third-party consultants and oversight of the Audit Committee, have implemented, among other items, the following measures to address the material weaknesses identified:</w:t>
      </w:r>
    </w:p>
    <w:p>
      <w:pPr>
        <w:spacing w:after="0" w:line="202" w:lineRule="exact"/>
        <w:rPr>
          <w:sz w:val="20"/>
          <w:szCs w:val="20"/>
          <w:color w:val="auto"/>
        </w:rPr>
      </w:pPr>
    </w:p>
    <w:p>
      <w:pPr>
        <w:ind w:left="720" w:right="159" w:hanging="319"/>
        <w:spacing w:after="0" w:line="274"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hired and trained additional qualified personnel, including but not limited to our Chief Executive Officer, Chief Financial Officer, Vice President of Finance and Controller, and Director of SEC Reporting</w:t>
      </w:r>
    </w:p>
    <w:p>
      <w:pPr>
        <w:spacing w:after="0" w:line="174" w:lineRule="exact"/>
        <w:rPr>
          <w:rFonts w:ascii="Arial" w:cs="Arial" w:eastAsia="Arial" w:hAnsi="Arial"/>
          <w:sz w:val="17"/>
          <w:szCs w:val="17"/>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performed detailed risk assessments in key process areas to identify risks of material misstatement</w:t>
      </w:r>
    </w:p>
    <w:p>
      <w:pPr>
        <w:spacing w:after="0" w:line="225" w:lineRule="exact"/>
        <w:rPr>
          <w:rFonts w:ascii="Arial" w:cs="Arial" w:eastAsia="Arial" w:hAnsi="Arial"/>
          <w:sz w:val="18"/>
          <w:szCs w:val="18"/>
          <w:color w:val="auto"/>
        </w:rPr>
      </w:pPr>
    </w:p>
    <w:p>
      <w:pPr>
        <w:ind w:left="720" w:right="11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the assistance of a large nationally recognized accounting firm, designed and implemented control procedures to address the identified risks of material misstatements in key process areas</w:t>
      </w:r>
    </w:p>
    <w:p>
      <w:pPr>
        <w:spacing w:after="0" w:line="196" w:lineRule="exact"/>
        <w:rPr>
          <w:rFonts w:ascii="Arial" w:cs="Arial" w:eastAsia="Arial" w:hAnsi="Arial"/>
          <w:sz w:val="18"/>
          <w:szCs w:val="18"/>
          <w:color w:val="auto"/>
        </w:rPr>
      </w:pPr>
    </w:p>
    <w:p>
      <w:pPr>
        <w:ind w:left="720" w:right="9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implemented a new SOX software which details the control design, the tracking of SOX deliverables for testing, documentation of testing results and subsequent follow-up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acquired and began the implementation of a new accounts payable system</w:t>
      </w:r>
    </w:p>
    <w:p>
      <w:pPr>
        <w:spacing w:after="0" w:line="225" w:lineRule="exact"/>
        <w:rPr>
          <w:rFonts w:ascii="Arial" w:cs="Arial" w:eastAsia="Arial" w:hAnsi="Arial"/>
          <w:sz w:val="18"/>
          <w:szCs w:val="18"/>
          <w:color w:val="auto"/>
        </w:rPr>
      </w:pPr>
    </w:p>
    <w:p>
      <w:pPr>
        <w:ind w:left="720" w:right="2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initiated changes to our procure-to-pay process, including significantly increasing executive oversight and involvement with purchasing activities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established monitoring activities that hold personnel accountable to their responsibilities for the design and implementation of internal controls over financial reporting.</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Under the COSO framework, a material weakness will not be considered remediated until the applicable controls operate for a sufficient period of time. While significant progress was made on the remediation plan during fiscal year 2021, the vast majority of the implementation of relevant key controls occurred throughout the second half of the year.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of Material Weaknesses</w:t>
      </w:r>
    </w:p>
    <w:p>
      <w:pPr>
        <w:spacing w:after="0" w:line="230"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Based on the remediation actions we completed, and our testing of the control improvements implemented as of December 31, 2021, we believe the following material weaknesses disclosed as of December 31, 2020 no longer exist:</w:t>
      </w:r>
    </w:p>
    <w:p>
      <w:pPr>
        <w:spacing w:after="0" w:line="203"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resources with the appropriate technical accounting skills.</w:t>
      </w:r>
    </w:p>
    <w:p>
      <w:pPr>
        <w:spacing w:after="0" w:line="225" w:lineRule="exact"/>
        <w:rPr>
          <w:rFonts w:ascii="Arial" w:cs="Arial" w:eastAsia="Arial" w:hAnsi="Arial"/>
          <w:sz w:val="18"/>
          <w:szCs w:val="18"/>
          <w:color w:val="auto"/>
        </w:rPr>
      </w:pPr>
    </w:p>
    <w:p>
      <w:pPr>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202" w:lineRule="exact"/>
        <w:rPr>
          <w:rFonts w:ascii="Arial" w:cs="Arial" w:eastAsia="Arial" w:hAnsi="Arial"/>
          <w:sz w:val="18"/>
          <w:szCs w:val="18"/>
          <w:color w:val="auto"/>
        </w:rPr>
      </w:pPr>
    </w:p>
    <w:p>
      <w:pPr>
        <w:ind w:left="720" w:right="61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97" w:lineRule="exact"/>
        <w:rPr>
          <w:sz w:val="20"/>
          <w:szCs w:val="20"/>
          <w:color w:val="auto"/>
        </w:rPr>
      </w:pPr>
    </w:p>
    <w:p>
      <w:pPr>
        <w:ind w:left="60" w:right="439"/>
        <w:spacing w:after="0" w:line="237" w:lineRule="auto"/>
        <w:rPr>
          <w:sz w:val="20"/>
          <w:szCs w:val="20"/>
          <w:color w:val="auto"/>
        </w:rPr>
      </w:pPr>
      <w:r>
        <w:rPr>
          <w:rFonts w:ascii="Arial" w:cs="Arial" w:eastAsia="Arial" w:hAnsi="Arial"/>
          <w:sz w:val="18"/>
          <w:szCs w:val="18"/>
          <w:color w:val="auto"/>
        </w:rPr>
        <w:t>Management is continuing to test the effectiveness of the controls implemented pursuant to the remediation plan described above, as well as seeking to hire additional well-qualified personnel and utilize outside consultants, in order to conclude that our internal controls are operating effectively. We believe that these actions and the expected improvements will strengthen our internal control over financial reporting and remediate the remaining material weakness, however, there can be no assurance that this will occur during 2022.</w:t>
      </w:r>
    </w:p>
    <w:p>
      <w:pPr>
        <w:spacing w:after="0" w:line="20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Notwithstanding the identified material weaknesses, management believes that the consolidated financial statements included in this Annual Report on Form 10-K present fairly in all material respects our consolidated financial position, results of operations and cash flows for the period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Rules 13a-15(d) and 15d -15(d) of the Exchange Act that occurred during our fourth quarter of 2021 that have materially affected, or are reasonably likely to materially affect, our internal control over financial reporting except for the remediation efforts with regard to the material weaknesses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ind w:left="60" w:right="399"/>
        <w:spacing w:after="0" w:line="261" w:lineRule="auto"/>
        <w:rPr>
          <w:sz w:val="20"/>
          <w:szCs w:val="20"/>
          <w:color w:val="auto"/>
        </w:rPr>
      </w:pPr>
      <w:r>
        <w:rPr>
          <w:rFonts w:ascii="Arial" w:cs="Arial" w:eastAsia="Arial" w:hAnsi="Arial"/>
          <w:sz w:val="17"/>
          <w:szCs w:val="17"/>
          <w:color w:val="auto"/>
        </w:rPr>
        <w:t>On February 23, 2022, the compensation committee of the board of directors approved an annual incentive bonus structure for the 2022 fiscal year for the Company’s executive officers that will be payable, at the Company’s election in cash, shares of Class A common stock or a combination thereof, up to a maximum 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19"/>
        <w:spacing w:after="0" w:line="246" w:lineRule="auto"/>
        <w:rPr>
          <w:sz w:val="20"/>
          <w:szCs w:val="20"/>
          <w:color w:val="auto"/>
        </w:rPr>
      </w:pPr>
      <w:r>
        <w:rPr>
          <w:rFonts w:ascii="Arial" w:cs="Arial" w:eastAsia="Arial" w:hAnsi="Arial"/>
          <w:sz w:val="18"/>
          <w:szCs w:val="18"/>
          <w:color w:val="auto"/>
        </w:rPr>
        <w:t>an aggregate of 500,000 shares. Due to the potential equity issuance, these awards were made as performance unit awards under the 2020 Plan.</w:t>
      </w:r>
    </w:p>
    <w:p>
      <w:pPr>
        <w:spacing w:after="0" w:line="183"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Each officer has a target annual incentive amount based on a percentage of his or her salary as follows: Chief Executive Officer - 125%; Chief Financial Officer - 80%; President – 100%; Executive Vice President – Chief Commercial Officer - 80%; and Executive Vice President, General Counsel and Secretary - 80%, which reflect the target bonus amounts set forth in such officer’s employment agreement other than the Chief Commercial Officer. Payout amounts of 0%-150% of target may be earned based on 2022 performance against pre-established metrics. Payout with respect to 50% of the awards will be based on the combined achievement of</w:t>
      </w:r>
    </w:p>
    <w:p>
      <w:pPr>
        <w:spacing w:after="0" w:line="3" w:lineRule="exact"/>
        <w:rPr>
          <w:sz w:val="20"/>
          <w:szCs w:val="20"/>
          <w:color w:val="auto"/>
        </w:rPr>
      </w:pPr>
    </w:p>
    <w:p>
      <w:pPr>
        <w:ind w:left="60" w:right="79" w:hanging="10"/>
        <w:spacing w:after="0" w:line="236" w:lineRule="auto"/>
        <w:tabs>
          <w:tab w:leader="none" w:pos="3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cash flow and revenue goals, (2) completion of the Foxconn Transactions and entering into the joint product development agreement and (3) launch of the commercial production of the Endurance in the third quarter of 2022 (the “Universal Goals”). For the other 50% of the awards, payout will be based as to 25% on the achievement of individualized goals for each officer, which are tied to the title, function and area of responsibility of such officer and support the achievement of the Universal Goals, and as to the remaining 25% on personal performance. The compensation committee will take into account certain levels of operating cash flow and revenue for threshold, target and maximum achievement with respect to that aspect of the payout, but will generally have discretion as to the relative weighting of factors within each segment of any bonus payout.</w:t>
      </w:r>
    </w:p>
    <w:p>
      <w:pPr>
        <w:spacing w:after="0" w:line="172" w:lineRule="exact"/>
        <w:rPr>
          <w:sz w:val="20"/>
          <w:szCs w:val="20"/>
          <w:color w:val="auto"/>
        </w:rPr>
      </w:pPr>
    </w:p>
    <w:p>
      <w:pPr>
        <w:ind w:left="60" w:right="2339"/>
        <w:spacing w:after="0" w:line="50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information required by this item relating to our directors and nominees will be included under the captions “Proposal One — Proposal for Election of Directors — Nominees for Class II Directors” and “— Information Regarding the Board” in our definitive Proxy Statement for the 2022 Annual Meeting of Stockholders (“Definitive Proxy Statement”) and is incorporated herein by reference.</w:t>
      </w:r>
    </w:p>
    <w:p>
      <w:pPr>
        <w:spacing w:after="0" w:line="205"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“Information about our Executive Officers” in Part I of this Report on Form 10-K.</w:t>
      </w:r>
    </w:p>
    <w:p>
      <w:pPr>
        <w:spacing w:after="0" w:line="197"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information required by this item regarding compliance with Section 16(a) of the Securities Act of 1934 will be included under the caption “Delinquent Section 16(a) Reports” in our Definitive Proxy Statement and is incorporated herein by reference.</w:t>
      </w:r>
    </w:p>
    <w:p>
      <w:pPr>
        <w:spacing w:after="0" w:line="20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The information required by this item regarding our audit committee will be included under the caption “Corporate Governance — Audit Committee” in our Definitive Proxy Statement and is incorporated herein by reference.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The information required by this item will be included under the captions “Executive Compensation” and “— Director Compensation” in our Definitive Proxy Statement and is incorporated herein by reference.</w:t>
      </w:r>
    </w:p>
    <w:p>
      <w:pPr>
        <w:spacing w:after="0" w:line="377"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right="759"/>
        <w:spacing w:after="0" w:line="246" w:lineRule="auto"/>
        <w:rPr>
          <w:sz w:val="20"/>
          <w:szCs w:val="20"/>
          <w:color w:val="auto"/>
        </w:rPr>
      </w:pPr>
      <w:r>
        <w:rPr>
          <w:rFonts w:ascii="Arial" w:cs="Arial" w:eastAsia="Arial" w:hAnsi="Arial"/>
          <w:sz w:val="18"/>
          <w:szCs w:val="18"/>
          <w:color w:val="auto"/>
        </w:rPr>
        <w:t>The information required by this item will be included under the caption “Ownership of Securities” in our Definitive Proxy Statement and is incorporated herein by reference.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0" w:lineRule="exact"/>
        <w:rPr>
          <w:sz w:val="20"/>
          <w:szCs w:val="20"/>
          <w:color w:val="auto"/>
        </w:rPr>
      </w:pPr>
    </w:p>
    <w:p>
      <w:pPr>
        <w:ind w:left="60" w:right="119" w:firstLine="324"/>
        <w:spacing w:after="0" w:line="238" w:lineRule="auto"/>
        <w:rPr>
          <w:sz w:val="20"/>
          <w:szCs w:val="20"/>
          <w:color w:val="auto"/>
        </w:rPr>
      </w:pPr>
      <w:r>
        <w:rPr>
          <w:rFonts w:ascii="Arial" w:cs="Arial" w:eastAsia="Arial" w:hAnsi="Arial"/>
          <w:sz w:val="18"/>
          <w:szCs w:val="18"/>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“Corporate Governance — Director Independence,” in each case in our Definitive Proxy Statement, and is incorporated herein by reference.</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0"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The information required by this item will be included under the captions “Proposal Two — Proposal for Ratification of Appointment of Independent Registered Public Accounting Firm — Principal Accounting Fees and Services” and “— Pre-Approval of Audit and Non-Audit Services” in our Definitive Proxy Statement and is incorporated herein by reference.</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IV</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36"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700" w:hanging="32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700" w:right="119"/>
        <w:spacing w:after="0" w:line="246" w:lineRule="auto"/>
        <w:rPr>
          <w:sz w:val="20"/>
          <w:szCs w:val="20"/>
          <w:color w:val="auto"/>
        </w:rPr>
      </w:pPr>
      <w:r>
        <w:rPr>
          <w:rFonts w:ascii="Arial" w:cs="Arial" w:eastAsia="Arial" w:hAnsi="Arial"/>
          <w:sz w:val="18"/>
          <w:szCs w:val="18"/>
          <w:color w:val="auto"/>
        </w:rPr>
        <w:t>The following consolidated financial statements of the Company and subsidiaries are included in Item 8 of this Report: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Balance Sheets as of December 31, 2021 and 2020</w:t>
      </w:r>
    </w:p>
    <w:p>
      <w:pPr>
        <w:spacing w:after="0" w:line="212" w:lineRule="exact"/>
        <w:rPr>
          <w:sz w:val="20"/>
          <w:szCs w:val="20"/>
          <w:color w:val="auto"/>
        </w:rPr>
      </w:pPr>
    </w:p>
    <w:p>
      <w:pPr>
        <w:ind w:left="1020" w:right="459"/>
        <w:spacing w:after="0" w:line="246" w:lineRule="auto"/>
        <w:rPr>
          <w:sz w:val="20"/>
          <w:szCs w:val="20"/>
          <w:color w:val="auto"/>
        </w:rPr>
      </w:pPr>
      <w:r>
        <w:rPr>
          <w:rFonts w:ascii="Arial" w:cs="Arial" w:eastAsia="Arial" w:hAnsi="Arial"/>
          <w:sz w:val="18"/>
          <w:szCs w:val="18"/>
          <w:color w:val="auto"/>
        </w:rPr>
        <w:t>Statements of Operations for the years ended December 31, 2021 and 2020 and for the period from April 30, 2019 to December 31, 2019</w:t>
      </w:r>
    </w:p>
    <w:p>
      <w:pPr>
        <w:spacing w:after="0" w:line="197" w:lineRule="exact"/>
        <w:rPr>
          <w:sz w:val="20"/>
          <w:szCs w:val="20"/>
          <w:color w:val="auto"/>
        </w:rPr>
      </w:pPr>
    </w:p>
    <w:p>
      <w:pPr>
        <w:ind w:left="1020" w:right="279"/>
        <w:spacing w:after="0" w:line="246" w:lineRule="auto"/>
        <w:rPr>
          <w:sz w:val="20"/>
          <w:szCs w:val="20"/>
          <w:color w:val="auto"/>
        </w:rPr>
      </w:pPr>
      <w:r>
        <w:rPr>
          <w:rFonts w:ascii="Arial" w:cs="Arial" w:eastAsia="Arial" w:hAnsi="Arial"/>
          <w:sz w:val="18"/>
          <w:szCs w:val="18"/>
          <w:color w:val="auto"/>
        </w:rPr>
        <w:t>Statements of Stockholders’ Equity for the years ended December 31, 2021 and 2020 and for the period from April 30, 2019 to December 31, 2019</w:t>
      </w:r>
    </w:p>
    <w:p>
      <w:pPr>
        <w:spacing w:after="0" w:line="197" w:lineRule="exact"/>
        <w:rPr>
          <w:sz w:val="20"/>
          <w:szCs w:val="20"/>
          <w:color w:val="auto"/>
        </w:rPr>
      </w:pPr>
    </w:p>
    <w:p>
      <w:pPr>
        <w:ind w:left="1020" w:right="399"/>
        <w:spacing w:after="0" w:line="246" w:lineRule="auto"/>
        <w:rPr>
          <w:sz w:val="20"/>
          <w:szCs w:val="20"/>
          <w:color w:val="auto"/>
        </w:rPr>
      </w:pPr>
      <w:r>
        <w:rPr>
          <w:rFonts w:ascii="Arial" w:cs="Arial" w:eastAsia="Arial" w:hAnsi="Arial"/>
          <w:sz w:val="18"/>
          <w:szCs w:val="18"/>
          <w:color w:val="auto"/>
        </w:rPr>
        <w:t>Statements of Cash Flows for the years ended December 31, 2021 and 2020 and for the period from April 30, 2019 to December 31, 2019</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Financial Statements</w:t>
      </w:r>
    </w:p>
    <w:p>
      <w:pPr>
        <w:spacing w:after="0" w:line="212" w:lineRule="exact"/>
        <w:rPr>
          <w:sz w:val="20"/>
          <w:szCs w:val="20"/>
          <w:color w:val="auto"/>
        </w:rPr>
      </w:pPr>
    </w:p>
    <w:p>
      <w:pPr>
        <w:ind w:left="700" w:right="279" w:hanging="32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202" w:lineRule="exact"/>
        <w:rPr>
          <w:rFonts w:ascii="Arial" w:cs="Arial" w:eastAsia="Arial" w:hAnsi="Arial"/>
          <w:sz w:val="18"/>
          <w:szCs w:val="18"/>
          <w:color w:val="auto"/>
        </w:rPr>
      </w:pPr>
    </w:p>
    <w:p>
      <w:pPr>
        <w:ind w:left="700" w:hanging="32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00" w:type="dxa"/>
            <w:vAlign w:val="bottom"/>
            <w:gridSpan w:val="24"/>
          </w:tcPr>
          <w:p>
            <w:pPr>
              <w:ind w:left="60"/>
              <w:spacing w:after="0"/>
              <w:rPr>
                <w:sz w:val="20"/>
                <w:szCs w:val="20"/>
                <w:color w:val="auto"/>
              </w:rPr>
            </w:pPr>
            <w:r>
              <w:rPr>
                <w:rFonts w:ascii="Arial" w:cs="Arial" w:eastAsia="Arial" w:hAnsi="Arial"/>
                <w:sz w:val="16"/>
                <w:szCs w:val="16"/>
                <w:b w:val="1"/>
                <w:bCs w:val="1"/>
                <w:color w:val="auto"/>
              </w:rPr>
              <w:t>EXHIBIT INDEX</w:t>
            </w:r>
          </w:p>
        </w:tc>
      </w:t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21"/>
          </w:tcPr>
          <w:p>
            <w:pPr>
              <w:ind w:left="200"/>
              <w:spacing w:after="0"/>
              <w:rPr>
                <w:sz w:val="20"/>
                <w:szCs w:val="20"/>
                <w:color w:val="auto"/>
              </w:rPr>
            </w:pPr>
            <w:r>
              <w:rPr>
                <w:rFonts w:ascii="Arial" w:cs="Arial" w:eastAsia="Arial" w:hAnsi="Arial"/>
                <w:sz w:val="16"/>
                <w:szCs w:val="16"/>
                <w:b w:val="1"/>
                <w:bCs w:val="1"/>
                <w:color w:val="auto"/>
              </w:rPr>
              <w:t>Description</w:t>
            </w:r>
          </w:p>
        </w:tc>
        <w:tc>
          <w:tcPr>
            <w:tcW w:w="260" w:type="dxa"/>
            <w:vAlign w:val="bottom"/>
          </w:tcPr>
          <w:p>
            <w:pPr>
              <w:spacing w:after="0"/>
              <w:rPr>
                <w:sz w:val="18"/>
                <w:szCs w:val="18"/>
                <w:color w:val="auto"/>
              </w:rPr>
            </w:pPr>
          </w:p>
        </w:tc>
      </w:tr>
      <w:tr>
        <w:trPr>
          <w:trHeight w:val="155"/>
        </w:trPr>
        <w:tc>
          <w:tcPr>
            <w:tcW w:w="960" w:type="dxa"/>
            <w:vAlign w:val="bottom"/>
          </w:tcPr>
          <w:p>
            <w:pPr>
              <w:ind w:left="20"/>
              <w:spacing w:after="0" w:line="156" w:lineRule="exact"/>
              <w:rPr>
                <w:sz w:val="20"/>
                <w:szCs w:val="20"/>
                <w:color w:val="auto"/>
              </w:rPr>
            </w:pPr>
            <w:r>
              <w:rPr>
                <w:rFonts w:ascii="Arial" w:cs="Arial" w:eastAsia="Arial" w:hAnsi="Arial"/>
                <w:sz w:val="13"/>
                <w:szCs w:val="13"/>
                <w:color w:val="auto"/>
              </w:rPr>
              <w:t>2.1</w:t>
            </w:r>
            <w:r>
              <w:rPr>
                <w:rFonts w:ascii="Arial" w:cs="Arial" w:eastAsia="Arial" w:hAnsi="Arial"/>
                <w:sz w:val="18"/>
                <w:szCs w:val="18"/>
                <w:color w:val="auto"/>
                <w:vertAlign w:val="superscript"/>
              </w:rPr>
              <w:t>+</w:t>
            </w:r>
          </w:p>
        </w:tc>
        <w:tc>
          <w:tcPr>
            <w:tcW w:w="7520" w:type="dxa"/>
            <w:vAlign w:val="bottom"/>
            <w:tcBorders>
              <w:bottom w:val="single" w:sz="8" w:color="0000EE"/>
            </w:tcBorders>
            <w:gridSpan w:val="23"/>
          </w:tcPr>
          <w:p>
            <w:pPr>
              <w:spacing w:after="0" w:line="155" w:lineRule="exact"/>
              <w:rPr>
                <w:rFonts w:ascii="Arial" w:cs="Arial" w:eastAsia="Arial" w:hAnsi="Arial"/>
                <w:sz w:val="16"/>
                <w:szCs w:val="16"/>
                <w:color w:val="0000EE"/>
              </w:rPr>
            </w:pPr>
            <w:hyperlink r:id="rId111">
              <w:r>
                <w:rPr>
                  <w:rFonts w:ascii="Arial" w:cs="Arial" w:eastAsia="Arial" w:hAnsi="Arial"/>
                  <w:sz w:val="16"/>
                  <w:szCs w:val="16"/>
                  <w:color w:val="0000EE"/>
                </w:rPr>
                <w:t>Agreement and Plan of Merger, dated as of August 1, 2020, by and among DiamondPeak Holding Corp.,</w:t>
              </w:r>
            </w:hyperlink>
          </w:p>
        </w:tc>
        <w:tc>
          <w:tcPr>
            <w:tcW w:w="440" w:type="dxa"/>
            <w:vAlign w:val="bottom"/>
            <w:gridSpan w:val="8"/>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58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Lordstown Motors Corp. and DPL Merger Sub Corp. (incorporated by reference to the Company’s Current</w:t>
              </w:r>
            </w:hyperlink>
          </w:p>
        </w:tc>
        <w:tc>
          <w:tcPr>
            <w:tcW w:w="380" w:type="dxa"/>
            <w:vAlign w:val="bottom"/>
            <w:gridSpan w:val="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42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Report on Form 8-K, filed with the SEC on August 3, 2020)</w:t>
              </w:r>
            </w:hyperlink>
          </w:p>
        </w:tc>
        <w:tc>
          <w:tcPr>
            <w:tcW w:w="3740" w:type="dxa"/>
            <w:vAlign w:val="bottom"/>
            <w:gridSpan w:val="20"/>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w:t>
            </w:r>
          </w:p>
        </w:tc>
        <w:tc>
          <w:tcPr>
            <w:tcW w:w="750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Second Amended and Restated Certificate of Incorporation (incorporated by reference to the Company’s</w:t>
              </w:r>
            </w:hyperlink>
          </w:p>
        </w:tc>
        <w:tc>
          <w:tcPr>
            <w:tcW w:w="460" w:type="dxa"/>
            <w:vAlign w:val="bottom"/>
            <w:gridSpan w:val="9"/>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Current Report on Form 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w:t>
            </w:r>
          </w:p>
        </w:tc>
        <w:tc>
          <w:tcPr>
            <w:tcW w:w="762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Amended and Restated Bylaws (incorporated by reference to the Company’s Current Report on Form 8-K,</w:t>
              </w:r>
            </w:hyperlink>
          </w:p>
        </w:tc>
        <w:tc>
          <w:tcPr>
            <w:tcW w:w="34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8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filed with the SEC on October 29, 2020)</w:t>
              </w:r>
            </w:hyperlink>
          </w:p>
        </w:tc>
        <w:tc>
          <w:tcPr>
            <w:tcW w:w="5100" w:type="dxa"/>
            <w:vAlign w:val="bottom"/>
            <w:gridSpan w:val="24"/>
          </w:tcPr>
          <w:p>
            <w:pPr>
              <w:spacing w:after="0"/>
              <w:rPr>
                <w:sz w:val="14"/>
                <w:szCs w:val="14"/>
                <w:color w:val="auto"/>
              </w:rPr>
            </w:pPr>
          </w:p>
        </w:tc>
      </w:tr>
      <w:tr>
        <w:trPr>
          <w:trHeight w:val="183"/>
        </w:trPr>
        <w:tc>
          <w:tcPr>
            <w:tcW w:w="960" w:type="dxa"/>
            <w:vAlign w:val="bottom"/>
          </w:tcPr>
          <w:p>
            <w:pPr>
              <w:ind w:left="20"/>
              <w:spacing w:after="0" w:line="183" w:lineRule="exact"/>
              <w:rPr>
                <w:sz w:val="20"/>
                <w:szCs w:val="20"/>
                <w:color w:val="auto"/>
              </w:rPr>
            </w:pPr>
            <w:r>
              <w:rPr>
                <w:rFonts w:ascii="Arial" w:cs="Arial" w:eastAsia="Arial" w:hAnsi="Arial"/>
                <w:sz w:val="16"/>
                <w:szCs w:val="16"/>
                <w:color w:val="auto"/>
              </w:rPr>
              <w:t>4.1*</w:t>
            </w:r>
          </w:p>
        </w:tc>
        <w:tc>
          <w:tcPr>
            <w:tcW w:w="30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Description of Class A Common Stock</w:t>
              </w:r>
            </w:hyperlink>
          </w:p>
        </w:tc>
        <w:tc>
          <w:tcPr>
            <w:tcW w:w="4900" w:type="dxa"/>
            <w:vAlign w:val="bottom"/>
            <w:gridSpan w:val="23"/>
          </w:tcPr>
          <w:p>
            <w:pPr>
              <w:spacing w:after="0"/>
              <w:rPr>
                <w:sz w:val="15"/>
                <w:szCs w:val="15"/>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4.2</w:t>
            </w:r>
          </w:p>
        </w:tc>
        <w:tc>
          <w:tcPr>
            <w:tcW w:w="766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Warrant Agreement, dated February 27, 2019, by and between the Company and American Stock Transfer</w:t>
              </w:r>
            </w:hyperlink>
          </w:p>
        </w:tc>
        <w:tc>
          <w:tcPr>
            <w:tcW w:w="300" w:type="dxa"/>
            <w:vAlign w:val="bottom"/>
            <w:gridSpan w:val="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50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&amp; Trust Company, LLC, as trustee (including form of warrant certificate) (incorporated by reference to the</w:t>
              </w:r>
            </w:hyperlink>
          </w:p>
        </w:tc>
        <w:tc>
          <w:tcPr>
            <w:tcW w:w="460" w:type="dxa"/>
            <w:vAlign w:val="bottom"/>
            <w:gridSpan w:val="9"/>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Company’s Current Report on Form 8-K, filed with the SEC on March 5, 2019)</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770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Form of Subscription Agreement (incorporated by reference to the Company’s Current Report on Form 8-K,</w:t>
              </w:r>
            </w:hyperlink>
          </w:p>
        </w:tc>
        <w:tc>
          <w:tcPr>
            <w:tcW w:w="26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70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filed with the SEC on August 3, 2020)</w:t>
              </w:r>
            </w:hyperlink>
          </w:p>
        </w:tc>
        <w:tc>
          <w:tcPr>
            <w:tcW w:w="5260" w:type="dxa"/>
            <w:vAlign w:val="bottom"/>
            <w:gridSpan w:val="25"/>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w:t>
            </w:r>
          </w:p>
        </w:tc>
        <w:tc>
          <w:tcPr>
            <w:tcW w:w="7960" w:type="dxa"/>
            <w:vAlign w:val="bottom"/>
            <w:gridSpan w:val="31"/>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Amended &amp; Restated Registration Rights and Lockup Agreement dated as of August 1, 2020 and effective</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as of October 23, 2020 (incorporated by reference to the Company’s Current Report on Form 8-K, filed with</w:t>
              </w:r>
            </w:hyperlink>
          </w:p>
        </w:tc>
      </w:tr>
      <w:tr>
        <w:trPr>
          <w:trHeight w:val="169"/>
        </w:trPr>
        <w:tc>
          <w:tcPr>
            <w:tcW w:w="960" w:type="dxa"/>
            <w:vAlign w:val="bottom"/>
          </w:tcPr>
          <w:p>
            <w:pPr>
              <w:spacing w:after="0"/>
              <w:rPr>
                <w:sz w:val="14"/>
                <w:szCs w:val="14"/>
                <w:color w:val="auto"/>
              </w:rPr>
            </w:pPr>
          </w:p>
        </w:tc>
        <w:tc>
          <w:tcPr>
            <w:tcW w:w="768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the SEC on October 29, 2020)</w:t>
              </w:r>
            </w:hyperlink>
          </w:p>
        </w:tc>
        <w:tc>
          <w:tcPr>
            <w:tcW w:w="280" w:type="dxa"/>
            <w:vAlign w:val="bottom"/>
            <w:gridSpan w:val="2"/>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10.3#</w:t>
            </w:r>
          </w:p>
        </w:tc>
        <w:tc>
          <w:tcPr>
            <w:tcW w:w="7960" w:type="dxa"/>
            <w:vAlign w:val="bottom"/>
            <w:gridSpan w:val="31"/>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Form of Indemnification Agreement (incorporated by reference to the Company’s Current Report on Form</w:t>
              </w:r>
            </w:hyperlink>
          </w:p>
        </w:tc>
      </w:tr>
      <w:tr>
        <w:trPr>
          <w:trHeight w:val="169"/>
        </w:trPr>
        <w:tc>
          <w:tcPr>
            <w:tcW w:w="960" w:type="dxa"/>
            <w:vAlign w:val="bottom"/>
          </w:tcPr>
          <w:p>
            <w:pPr>
              <w:spacing w:after="0"/>
              <w:rPr>
                <w:sz w:val="14"/>
                <w:szCs w:val="14"/>
                <w:color w:val="auto"/>
              </w:rPr>
            </w:pPr>
          </w:p>
        </w:tc>
        <w:tc>
          <w:tcPr>
            <w:tcW w:w="754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8-K, filed with the SEC on October 29, 2020)</w:t>
              </w:r>
            </w:hyperlink>
          </w:p>
        </w:tc>
        <w:tc>
          <w:tcPr>
            <w:tcW w:w="420" w:type="dxa"/>
            <w:vAlign w:val="bottom"/>
            <w:gridSpan w:val="7"/>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736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2020 Equity Incentive Plan (incorporated by reference to the Company’s proxy statement, filed with the</w:t>
              </w:r>
            </w:hyperlink>
          </w:p>
        </w:tc>
        <w:tc>
          <w:tcPr>
            <w:tcW w:w="60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SEC on October 8, 2020)</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748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Form of Notice of Stock Option Award Granted Under the Lordstown Motors Corp. 2020 Equity Incentive</w:t>
              </w:r>
            </w:hyperlink>
          </w:p>
        </w:tc>
        <w:tc>
          <w:tcPr>
            <w:tcW w:w="480" w:type="dxa"/>
            <w:vAlign w:val="bottom"/>
            <w:gridSpan w:val="1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Plan (incorporated by reference to the Company’s Annual Report on Form 10-K for the fiscal year ended</w:t>
              </w:r>
            </w:hyperlink>
          </w:p>
        </w:tc>
      </w:tr>
      <w:tr>
        <w:trPr>
          <w:trHeight w:val="169"/>
        </w:trPr>
        <w:tc>
          <w:tcPr>
            <w:tcW w:w="96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December 31, 2020)</w:t>
              </w:r>
            </w:hyperlink>
          </w:p>
        </w:tc>
        <w:tc>
          <w:tcPr>
            <w:tcW w:w="500" w:type="dxa"/>
            <w:vAlign w:val="bottom"/>
            <w:gridSpan w:val="11"/>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960" w:type="dxa"/>
            <w:vAlign w:val="bottom"/>
            <w:gridSpan w:val="31"/>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Form of Notice of Restricted Stock Unit Award Granted Under the Lordstown Motors Corp. 2020 Equity</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Incentive Plan (incorporated by reference to the Company’s Annual Report on Form 10-K for the fiscal year</w:t>
              </w:r>
            </w:hyperlink>
          </w:p>
        </w:tc>
      </w:tr>
      <w:tr>
        <w:trPr>
          <w:trHeight w:val="169"/>
        </w:trPr>
        <w:tc>
          <w:tcPr>
            <w:tcW w:w="960" w:type="dxa"/>
            <w:vAlign w:val="bottom"/>
          </w:tcPr>
          <w:p>
            <w:pPr>
              <w:spacing w:after="0"/>
              <w:rPr>
                <w:sz w:val="14"/>
                <w:szCs w:val="14"/>
                <w:color w:val="auto"/>
              </w:rPr>
            </w:pPr>
          </w:p>
        </w:tc>
        <w:tc>
          <w:tcPr>
            <w:tcW w:w="19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ended December 31, 2020)</w:t>
              </w:r>
            </w:hyperlink>
          </w:p>
        </w:tc>
        <w:tc>
          <w:tcPr>
            <w:tcW w:w="5680" w:type="dxa"/>
            <w:vAlign w:val="bottom"/>
            <w:tcBorders>
              <w:top w:val="single" w:sz="8" w:color="0000EE"/>
            </w:tcBorders>
            <w:gridSpan w:val="24"/>
          </w:tcPr>
          <w:p>
            <w:pPr>
              <w:spacing w:after="0"/>
              <w:rPr>
                <w:sz w:val="14"/>
                <w:szCs w:val="14"/>
                <w:color w:val="auto"/>
              </w:rPr>
            </w:pPr>
          </w:p>
        </w:tc>
        <w:tc>
          <w:tcPr>
            <w:tcW w:w="300" w:type="dxa"/>
            <w:vAlign w:val="bottom"/>
            <w:gridSpan w:val="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10.7#</w:t>
            </w:r>
          </w:p>
        </w:tc>
        <w:tc>
          <w:tcPr>
            <w:tcW w:w="708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Form of Lordstown Motors Corp. 2020 Equity Incentive Plan Outside Director Restricted Stock Unit</w:t>
              </w:r>
            </w:hyperlink>
          </w:p>
        </w:tc>
        <w:tc>
          <w:tcPr>
            <w:tcW w:w="880" w:type="dxa"/>
            <w:vAlign w:val="bottom"/>
            <w:gridSpan w:val="1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4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Agreement (incorporated by reference to the Company’s Annual Report on Form 10-K for the fiscal year</w:t>
              </w:r>
            </w:hyperlink>
          </w:p>
        </w:tc>
        <w:tc>
          <w:tcPr>
            <w:tcW w:w="520" w:type="dxa"/>
            <w:vAlign w:val="bottom"/>
            <w:gridSpan w:val="1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198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ended December 31, 2020)</w:t>
              </w:r>
            </w:hyperlink>
          </w:p>
        </w:tc>
        <w:tc>
          <w:tcPr>
            <w:tcW w:w="5980" w:type="dxa"/>
            <w:vAlign w:val="bottom"/>
            <w:gridSpan w:val="27"/>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10.8#</w:t>
            </w:r>
          </w:p>
        </w:tc>
        <w:tc>
          <w:tcPr>
            <w:tcW w:w="712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Legacy Lordstown 2019 Incentive Compensation Plan, as amended by Amendment No. 1, effective</w:t>
              </w:r>
            </w:hyperlink>
          </w:p>
        </w:tc>
        <w:tc>
          <w:tcPr>
            <w:tcW w:w="840" w:type="dxa"/>
            <w:vAlign w:val="bottom"/>
            <w:gridSpan w:val="1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4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February 14, 2020 (including the form of option award agreement thereunder and the terms and conditions</w:t>
              </w:r>
            </w:hyperlink>
          </w:p>
        </w:tc>
        <w:tc>
          <w:tcPr>
            <w:tcW w:w="3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that govern the option award agreements) (incorporated by reference to the Company’s Current Report on</w:t>
              </w:r>
            </w:hyperlink>
          </w:p>
        </w:tc>
      </w:tr>
      <w:tr>
        <w:trPr>
          <w:trHeight w:val="169"/>
        </w:trPr>
        <w:tc>
          <w:tcPr>
            <w:tcW w:w="960" w:type="dxa"/>
            <w:vAlign w:val="bottom"/>
          </w:tcPr>
          <w:p>
            <w:pPr>
              <w:spacing w:after="0"/>
              <w:rPr>
                <w:sz w:val="14"/>
                <w:szCs w:val="14"/>
                <w:color w:val="auto"/>
              </w:rPr>
            </w:pPr>
          </w:p>
        </w:tc>
        <w:tc>
          <w:tcPr>
            <w:tcW w:w="762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Form 8-K, filed with the SEC on October 29, 2020)</w:t>
              </w:r>
            </w:hyperlink>
          </w:p>
        </w:tc>
        <w:tc>
          <w:tcPr>
            <w:tcW w:w="340" w:type="dxa"/>
            <w:vAlign w:val="bottom"/>
            <w:gridSpan w:val="5"/>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40" w:type="dxa"/>
            <w:vAlign w:val="bottom"/>
            <w:gridSpan w:val="9"/>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10.13#</w:t>
            </w:r>
          </w:p>
        </w:tc>
        <w:tc>
          <w:tcPr>
            <w:tcW w:w="7960" w:type="dxa"/>
            <w:vAlign w:val="bottom"/>
            <w:gridSpan w:val="31"/>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Employment Agreement, dated October 1, 2019, between Lordstown Motors Corp. and Thomas V.</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960" w:type="dxa"/>
            <w:vAlign w:val="bottom"/>
            <w:tcBorders>
              <w:right w:val="single" w:sz="8" w:color="0000EE"/>
            </w:tcBorders>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38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Canepa, as amended by Amendment to Employment Agreement, dated July 31, 2020 (incorporated by</w:t>
              </w:r>
            </w:hyperlink>
          </w:p>
        </w:tc>
        <w:tc>
          <w:tcPr>
            <w:tcW w:w="580" w:type="dxa"/>
            <w:vAlign w:val="bottom"/>
            <w:gridSpan w:val="1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04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reference to the Company’s Current Report on Form 8-K, filed with the SEC on October 29, 2020)</w:t>
              </w:r>
            </w:hyperlink>
          </w:p>
        </w:tc>
        <w:tc>
          <w:tcPr>
            <w:tcW w:w="920" w:type="dxa"/>
            <w:vAlign w:val="bottom"/>
            <w:gridSpan w:val="17"/>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10.14#</w:t>
            </w:r>
          </w:p>
        </w:tc>
        <w:tc>
          <w:tcPr>
            <w:tcW w:w="7960" w:type="dxa"/>
            <w:vAlign w:val="bottom"/>
            <w:gridSpan w:val="31"/>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Separation and Release Agreement, dated June 13, 2021, between Lordstown Motors Corp. and Stephen</w:t>
              </w:r>
            </w:hyperlink>
          </w:p>
        </w:tc>
      </w:tr>
      <w:tr>
        <w:trPr>
          <w:trHeight w:val="169"/>
        </w:trPr>
        <w:tc>
          <w:tcPr>
            <w:tcW w:w="960" w:type="dxa"/>
            <w:vAlign w:val="bottom"/>
          </w:tcPr>
          <w:p>
            <w:pPr>
              <w:spacing w:after="0"/>
              <w:rPr>
                <w:sz w:val="14"/>
                <w:szCs w:val="14"/>
                <w:color w:val="auto"/>
              </w:rPr>
            </w:pPr>
          </w:p>
        </w:tc>
        <w:tc>
          <w:tcPr>
            <w:tcW w:w="758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S. Burns (incorporated by reference to the Company’s Current Report on Form 8-K, filed with the SEC on</w:t>
              </w:r>
            </w:hyperlink>
          </w:p>
        </w:tc>
        <w:tc>
          <w:tcPr>
            <w:tcW w:w="380" w:type="dxa"/>
            <w:vAlign w:val="bottom"/>
            <w:gridSpan w:val="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52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June 14, 2021)</w:t>
              </w:r>
            </w:hyperlink>
          </w:p>
        </w:tc>
        <w:tc>
          <w:tcPr>
            <w:tcW w:w="440" w:type="dxa"/>
            <w:vAlign w:val="bottom"/>
            <w:gridSpan w:val="8"/>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80" w:type="dxa"/>
            <w:vAlign w:val="bottom"/>
            <w:gridSpan w:val="1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10.15#</w:t>
            </w:r>
          </w:p>
        </w:tc>
        <w:tc>
          <w:tcPr>
            <w:tcW w:w="736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Separation and Release Agreement, dated June 13, 2021, between Lordstown Motors Corp. and Julio</w:t>
              </w:r>
            </w:hyperlink>
          </w:p>
        </w:tc>
        <w:tc>
          <w:tcPr>
            <w:tcW w:w="60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Rodriguez (incorporated by reference to the Company’s Current Report on Form 8-K, filed with the SEC on</w:t>
              </w:r>
            </w:hyperlink>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June 14, 2021)</w:t>
              </w:r>
            </w:hyperlink>
          </w:p>
        </w:tc>
        <w:tc>
          <w:tcPr>
            <w:tcW w:w="320" w:type="dxa"/>
            <w:vAlign w:val="bottom"/>
            <w:gridSpan w:val="4"/>
          </w:tcPr>
          <w:p>
            <w:pPr>
              <w:spacing w:after="0"/>
              <w:rPr>
                <w:sz w:val="14"/>
                <w:szCs w:val="14"/>
                <w:color w:val="auto"/>
              </w:rPr>
            </w:pPr>
          </w:p>
        </w:tc>
      </w:tr>
      <w:tr>
        <w:trPr>
          <w:trHeight w:val="655"/>
        </w:trPr>
        <w:tc>
          <w:tcPr>
            <w:tcW w:w="96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540" w:type="dxa"/>
            <w:vAlign w:val="bottom"/>
            <w:gridSpan w:val="9"/>
          </w:tcPr>
          <w:p>
            <w:pPr>
              <w:ind w:left="2320"/>
              <w:spacing w:after="0"/>
              <w:rPr>
                <w:sz w:val="20"/>
                <w:szCs w:val="20"/>
                <w:color w:val="auto"/>
              </w:rPr>
            </w:pPr>
            <w:r>
              <w:rPr>
                <w:rFonts w:ascii="Arial" w:cs="Arial" w:eastAsia="Arial" w:hAnsi="Arial"/>
                <w:sz w:val="18"/>
                <w:szCs w:val="18"/>
                <w:color w:val="auto"/>
                <w:w w:val="99"/>
              </w:rPr>
              <w:t>98</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99" w:name="page100"/>
    <w:bookmarkEnd w:id="99"/>
    <w:p>
      <w:pPr>
        <w:spacing w:after="0" w:line="26" w:lineRule="exact"/>
        <w:rPr>
          <w:sz w:val="20"/>
          <w:szCs w:val="20"/>
          <w:color w:val="auto"/>
        </w:rPr>
      </w:pPr>
    </w:p>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1"/>
          </w:tcPr>
          <w:p>
            <w:pPr>
              <w:ind w:left="8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4640" w:type="dxa"/>
            <w:vAlign w:val="bottom"/>
          </w:tcPr>
          <w:p>
            <w:pPr>
              <w:ind w:left="20"/>
              <w:spacing w:after="0" w:line="155" w:lineRule="exact"/>
              <w:rPr>
                <w:sz w:val="20"/>
                <w:szCs w:val="20"/>
                <w:color w:val="auto"/>
              </w:rPr>
            </w:pPr>
            <w:r>
              <w:rPr>
                <w:rFonts w:ascii="Arial" w:cs="Arial" w:eastAsia="Arial" w:hAnsi="Arial"/>
                <w:sz w:val="16"/>
                <w:szCs w:val="16"/>
                <w:color w:val="auto"/>
              </w:rPr>
              <w:t>10.16#</w:t>
            </w:r>
          </w:p>
        </w:tc>
        <w:tc>
          <w:tcPr>
            <w:tcW w:w="3360" w:type="dxa"/>
            <w:vAlign w:val="bottom"/>
            <w:tcBorders>
              <w:bottom w:val="single" w:sz="8" w:color="0000EE"/>
            </w:tcBorders>
            <w:gridSpan w:val="13"/>
          </w:tcPr>
          <w:p>
            <w:pPr>
              <w:spacing w:after="0" w:line="155" w:lineRule="exact"/>
              <w:rPr>
                <w:rFonts w:ascii="Arial" w:cs="Arial" w:eastAsia="Arial" w:hAnsi="Arial"/>
                <w:sz w:val="16"/>
                <w:szCs w:val="16"/>
                <w:color w:val="0000EE"/>
              </w:rPr>
            </w:pPr>
            <w:hyperlink r:id="rId127">
              <w:r>
                <w:rPr>
                  <w:rFonts w:ascii="Arial" w:cs="Arial" w:eastAsia="Arial" w:hAnsi="Arial"/>
                  <w:sz w:val="16"/>
                  <w:szCs w:val="16"/>
                  <w:color w:val="0000EE"/>
                </w:rPr>
                <w:t>Employment Agreement, dated June 18, 2021,</w:t>
              </w:r>
            </w:hyperlink>
          </w:p>
        </w:tc>
        <w:tc>
          <w:tcPr>
            <w:tcW w:w="640" w:type="dxa"/>
            <w:vAlign w:val="bottom"/>
            <w:gridSpan w:val="24"/>
          </w:tcPr>
          <w:p>
            <w:pPr>
              <w:spacing w:after="0"/>
              <w:rPr>
                <w:sz w:val="13"/>
                <w:szCs w:val="13"/>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between Lordstown Motors Corp. and Angela Strand</w:t>
              </w:r>
            </w:hyperlink>
          </w:p>
        </w:tc>
      </w:tr>
      <w:tr>
        <w:trPr>
          <w:trHeight w:val="20"/>
        </w:trPr>
        <w:tc>
          <w:tcPr>
            <w:tcW w:w="4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(incorporated by reference to the Company’s Current</w:t>
              </w:r>
            </w:hyperlink>
          </w:p>
        </w:tc>
        <w:tc>
          <w:tcPr>
            <w:tcW w:w="180" w:type="dxa"/>
            <w:vAlign w:val="bottom"/>
            <w:gridSpan w:val="1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Report on Form 8-K, filed with the SEC on June 24,</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27">
              <w:r>
                <w:rPr>
                  <w:rFonts w:ascii="Arial" w:cs="Arial" w:eastAsia="Arial" w:hAnsi="Arial"/>
                  <w:sz w:val="16"/>
                  <w:szCs w:val="16"/>
                  <w:color w:val="0000EE"/>
                  <w:w w:val="97"/>
                </w:rPr>
                <w:t>2021)</w:t>
              </w:r>
            </w:hyperlink>
          </w:p>
        </w:tc>
        <w:tc>
          <w:tcPr>
            <w:tcW w:w="2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10.17#</w:t>
            </w:r>
          </w:p>
        </w:tc>
        <w:tc>
          <w:tcPr>
            <w:tcW w:w="336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Employment Agreement, dated June 18, 2021,</w:t>
              </w:r>
            </w:hyperlink>
          </w:p>
        </w:tc>
        <w:tc>
          <w:tcPr>
            <w:tcW w:w="640" w:type="dxa"/>
            <w:vAlign w:val="bottom"/>
            <w:gridSpan w:val="24"/>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between Lordstown Motors Corp. and Jane Ritson-</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6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Parsons (incorporated by reference to the Company’s</w:t>
              </w:r>
            </w:hyperlink>
          </w:p>
        </w:tc>
        <w:tc>
          <w:tcPr>
            <w:tcW w:w="140" w:type="dxa"/>
            <w:vAlign w:val="bottom"/>
            <w:gridSpan w:val="7"/>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Current Report on Form 8-K, filed with the SEC on</w:t>
              </w:r>
            </w:hyperlink>
          </w:p>
        </w:tc>
      </w:tr>
      <w:tr>
        <w:trPr>
          <w:trHeight w:val="169"/>
        </w:trPr>
        <w:tc>
          <w:tcPr>
            <w:tcW w:w="4640" w:type="dxa"/>
            <w:vAlign w:val="bottom"/>
          </w:tcPr>
          <w:p>
            <w:pPr>
              <w:spacing w:after="0"/>
              <w:rPr>
                <w:sz w:val="14"/>
                <w:szCs w:val="14"/>
                <w:color w:val="auto"/>
              </w:rPr>
            </w:pPr>
          </w:p>
        </w:tc>
        <w:tc>
          <w:tcPr>
            <w:tcW w:w="11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June 24, 2021)</w:t>
              </w:r>
            </w:hyperlink>
          </w:p>
        </w:tc>
        <w:tc>
          <w:tcPr>
            <w:tcW w:w="2520" w:type="dxa"/>
            <w:vAlign w:val="bottom"/>
            <w:tcBorders>
              <w:top w:val="single" w:sz="8" w:color="0000EE"/>
            </w:tcBorders>
            <w:gridSpan w:val="19"/>
          </w:tcPr>
          <w:p>
            <w:pPr>
              <w:spacing w:after="0"/>
              <w:rPr>
                <w:sz w:val="14"/>
                <w:szCs w:val="14"/>
                <w:color w:val="auto"/>
              </w:rPr>
            </w:pPr>
          </w:p>
        </w:tc>
        <w:tc>
          <w:tcPr>
            <w:tcW w:w="380" w:type="dxa"/>
            <w:vAlign w:val="bottom"/>
            <w:gridSpan w:val="15"/>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10.18#</w:t>
            </w:r>
          </w:p>
        </w:tc>
        <w:tc>
          <w:tcPr>
            <w:tcW w:w="400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Amended and Restated Employment Agreement, dated</w:t>
              </w:r>
            </w:hyperlink>
          </w:p>
        </w:tc>
      </w:tr>
      <w:tr>
        <w:trPr>
          <w:trHeight w:val="169"/>
        </w:trPr>
        <w:tc>
          <w:tcPr>
            <w:tcW w:w="4640" w:type="dxa"/>
            <w:vAlign w:val="bottom"/>
          </w:tcPr>
          <w:p>
            <w:pPr>
              <w:spacing w:after="0"/>
              <w:rPr>
                <w:sz w:val="14"/>
                <w:szCs w:val="14"/>
                <w:color w:val="auto"/>
              </w:rPr>
            </w:pPr>
          </w:p>
        </w:tc>
        <w:tc>
          <w:tcPr>
            <w:tcW w:w="384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June 18, 2021, between Lordstown Motors Corp. and</w:t>
              </w:r>
            </w:hyperlink>
          </w:p>
        </w:tc>
        <w:tc>
          <w:tcPr>
            <w:tcW w:w="160" w:type="dxa"/>
            <w:vAlign w:val="bottom"/>
            <w:gridSpan w:val="8"/>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36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Rich Schmidt (incorporated by reference to the</w:t>
              </w:r>
            </w:hyperlink>
          </w:p>
        </w:tc>
        <w:tc>
          <w:tcPr>
            <w:tcW w:w="640" w:type="dxa"/>
            <w:vAlign w:val="bottom"/>
            <w:gridSpan w:val="24"/>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Company’s Current Report on Form 8-K, filed with the</w:t>
              </w:r>
            </w:hyperlink>
          </w:p>
        </w:tc>
      </w:tr>
      <w:tr>
        <w:trPr>
          <w:trHeight w:val="169"/>
        </w:trPr>
        <w:tc>
          <w:tcPr>
            <w:tcW w:w="464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SEC on June 24, 2021)</w:t>
              </w:r>
            </w:hyperlink>
          </w:p>
        </w:tc>
        <w:tc>
          <w:tcPr>
            <w:tcW w:w="2160" w:type="dxa"/>
            <w:vAlign w:val="bottom"/>
            <w:tcBorders>
              <w:top w:val="single" w:sz="8" w:color="0000EE"/>
            </w:tcBorders>
            <w:gridSpan w:val="23"/>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10.19#</w:t>
            </w:r>
          </w:p>
        </w:tc>
        <w:tc>
          <w:tcPr>
            <w:tcW w:w="3940" w:type="dxa"/>
            <w:vAlign w:val="bottom"/>
            <w:tcBorders>
              <w:bottom w:val="single" w:sz="8" w:color="0000EE"/>
            </w:tcBorders>
            <w:gridSpan w:val="34"/>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Management Services Agreement, dated as of June 8,</w:t>
              </w:r>
            </w:hyperlink>
          </w:p>
        </w:tc>
        <w:tc>
          <w:tcPr>
            <w:tcW w:w="60" w:type="dxa"/>
            <w:vAlign w:val="bottom"/>
            <w:gridSpan w:val="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50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2021, between AP Services, LLC and Lordstown</w:t>
              </w:r>
            </w:hyperlink>
          </w:p>
        </w:tc>
        <w:tc>
          <w:tcPr>
            <w:tcW w:w="500" w:type="dxa"/>
            <w:vAlign w:val="bottom"/>
            <w:gridSpan w:val="2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Motors Corp. (incorporated by reference to the</w:t>
              </w:r>
            </w:hyperlink>
          </w:p>
        </w:tc>
      </w:tr>
      <w:tr>
        <w:trPr>
          <w:trHeight w:val="20"/>
        </w:trPr>
        <w:tc>
          <w:tcPr>
            <w:tcW w:w="46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Company’s Current Report on Form 8-K, filed with the</w:t>
              </w:r>
            </w:hyperlink>
          </w:p>
        </w:tc>
      </w:tr>
      <w:tr>
        <w:trPr>
          <w:trHeight w:val="169"/>
        </w:trPr>
        <w:tc>
          <w:tcPr>
            <w:tcW w:w="464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SEC on June 14, 2021)</w:t>
              </w:r>
            </w:hyperlink>
          </w:p>
        </w:tc>
        <w:tc>
          <w:tcPr>
            <w:tcW w:w="2160" w:type="dxa"/>
            <w:vAlign w:val="bottom"/>
            <w:tcBorders>
              <w:top w:val="single" w:sz="8" w:color="0000EE"/>
            </w:tcBorders>
            <w:gridSpan w:val="23"/>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10.20#</w:t>
            </w:r>
          </w:p>
        </w:tc>
        <w:tc>
          <w:tcPr>
            <w:tcW w:w="35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Employment Agreement, dated August 26, 2021,</w:t>
              </w:r>
            </w:hyperlink>
          </w:p>
        </w:tc>
        <w:tc>
          <w:tcPr>
            <w:tcW w:w="480" w:type="dxa"/>
            <w:vAlign w:val="bottom"/>
            <w:gridSpan w:val="1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980" w:type="dxa"/>
            <w:vAlign w:val="bottom"/>
            <w:tcBorders>
              <w:bottom w:val="single" w:sz="8" w:color="0000EE"/>
            </w:tcBorders>
            <w:gridSpan w:val="36"/>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between Lordstown Motors Corp. and Daniel Ninivaggi,</w:t>
              </w:r>
            </w:hyperlink>
          </w:p>
        </w:tc>
        <w:tc>
          <w:tcPr>
            <w:tcW w:w="2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as amended by Amendment to Employment</w:t>
              </w:r>
            </w:hyperlink>
          </w:p>
        </w:tc>
      </w:tr>
      <w:tr>
        <w:trPr>
          <w:trHeight w:val="20"/>
        </w:trPr>
        <w:tc>
          <w:tcPr>
            <w:tcW w:w="46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9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Agreement, dated November 9, 2021 (incorporated by</w:t>
              </w:r>
            </w:hyperlink>
          </w:p>
        </w:tc>
        <w:tc>
          <w:tcPr>
            <w:tcW w:w="100" w:type="dxa"/>
            <w:vAlign w:val="bottom"/>
            <w:gridSpan w:val="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980" w:type="dxa"/>
            <w:vAlign w:val="bottom"/>
            <w:tcBorders>
              <w:bottom w:val="single" w:sz="8" w:color="0000EE"/>
            </w:tcBorders>
            <w:gridSpan w:val="36"/>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reference to the Company’s Current Report on Form 8-</w:t>
              </w:r>
            </w:hyperlink>
          </w:p>
        </w:tc>
        <w:tc>
          <w:tcPr>
            <w:tcW w:w="2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24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K, filed with the SEC on November 10, 2021)</w:t>
              </w:r>
            </w:hyperlink>
          </w:p>
        </w:tc>
        <w:tc>
          <w:tcPr>
            <w:tcW w:w="760" w:type="dxa"/>
            <w:vAlign w:val="bottom"/>
            <w:gridSpan w:val="26"/>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10.21#</w:t>
            </w:r>
          </w:p>
        </w:tc>
        <w:tc>
          <w:tcPr>
            <w:tcW w:w="362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Employment Agreement, dated October 13, 2021,</w:t>
              </w:r>
            </w:hyperlink>
          </w:p>
        </w:tc>
        <w:tc>
          <w:tcPr>
            <w:tcW w:w="380" w:type="dxa"/>
            <w:vAlign w:val="bottom"/>
            <w:gridSpan w:val="1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between Lordstown Motors Corp. and Adam Kroll</w:t>
              </w:r>
            </w:hyperlink>
          </w:p>
        </w:tc>
      </w:tr>
      <w:tr>
        <w:trPr>
          <w:trHeight w:val="20"/>
        </w:trPr>
        <w:tc>
          <w:tcPr>
            <w:tcW w:w="46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(incorporated by reference to the Company’s Current</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Report on Form 8-K, filed with the SEC on October 13,</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2">
              <w:r>
                <w:rPr>
                  <w:rFonts w:ascii="Arial" w:cs="Arial" w:eastAsia="Arial" w:hAnsi="Arial"/>
                  <w:sz w:val="16"/>
                  <w:szCs w:val="16"/>
                  <w:color w:val="0000EE"/>
                  <w:w w:val="97"/>
                </w:rPr>
                <w:t>2021)</w:t>
              </w:r>
            </w:hyperlink>
          </w:p>
        </w:tc>
        <w:tc>
          <w:tcPr>
            <w:tcW w:w="2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10.22#</w:t>
            </w: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Employment Agreement, dated November 9, 2021,</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48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between Lordstown Motors Corp. and Edward T.</w:t>
              </w:r>
            </w:hyperlink>
          </w:p>
        </w:tc>
        <w:tc>
          <w:tcPr>
            <w:tcW w:w="520" w:type="dxa"/>
            <w:vAlign w:val="bottom"/>
            <w:gridSpan w:val="21"/>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Hightower (incorporated by reference to the Company’s</w:t>
              </w:r>
            </w:hyperlink>
          </w:p>
        </w:tc>
      </w:tr>
      <w:tr>
        <w:trPr>
          <w:trHeight w:val="169"/>
        </w:trPr>
        <w:tc>
          <w:tcPr>
            <w:tcW w:w="4640" w:type="dxa"/>
            <w:vAlign w:val="bottom"/>
          </w:tcPr>
          <w:p>
            <w:pPr>
              <w:spacing w:after="0"/>
              <w:rPr>
                <w:sz w:val="14"/>
                <w:szCs w:val="14"/>
                <w:color w:val="auto"/>
              </w:rPr>
            </w:pPr>
          </w:p>
        </w:tc>
        <w:tc>
          <w:tcPr>
            <w:tcW w:w="398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Current Report on Form 8-K, filed with the SEC on</w:t>
              </w:r>
            </w:hyperlink>
          </w:p>
        </w:tc>
        <w:tc>
          <w:tcPr>
            <w:tcW w:w="2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62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November 10, 2021)</w:t>
              </w:r>
            </w:hyperlink>
          </w:p>
        </w:tc>
        <w:tc>
          <w:tcPr>
            <w:tcW w:w="380" w:type="dxa"/>
            <w:vAlign w:val="bottom"/>
            <w:gridSpan w:val="15"/>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4640" w:type="dxa"/>
            <w:vAlign w:val="bottom"/>
          </w:tcPr>
          <w:p>
            <w:pPr>
              <w:ind w:left="20"/>
              <w:spacing w:after="0" w:line="183" w:lineRule="exact"/>
              <w:rPr>
                <w:sz w:val="20"/>
                <w:szCs w:val="20"/>
                <w:color w:val="auto"/>
              </w:rPr>
            </w:pPr>
            <w:r>
              <w:rPr>
                <w:rFonts w:ascii="Arial" w:cs="Arial" w:eastAsia="Arial" w:hAnsi="Arial"/>
                <w:sz w:val="16"/>
                <w:szCs w:val="16"/>
                <w:color w:val="auto"/>
              </w:rPr>
              <w:t>10.23#*</w:t>
            </w:r>
          </w:p>
        </w:tc>
        <w:tc>
          <w:tcPr>
            <w:tcW w:w="3900" w:type="dxa"/>
            <w:vAlign w:val="bottom"/>
            <w:tcBorders>
              <w:bottom w:val="single" w:sz="8" w:color="0000EE"/>
            </w:tcBorders>
            <w:gridSpan w:val="32"/>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Employment Agreement, dated January 1, 2022,</w:t>
              </w:r>
            </w:hyperlink>
          </w:p>
        </w:tc>
        <w:tc>
          <w:tcPr>
            <w:tcW w:w="100" w:type="dxa"/>
            <w:vAlign w:val="bottom"/>
            <w:gridSpan w:val="5"/>
          </w:tcPr>
          <w:p>
            <w:pPr>
              <w:spacing w:after="0"/>
              <w:rPr>
                <w:sz w:val="15"/>
                <w:szCs w:val="15"/>
                <w:color w:val="auto"/>
              </w:rPr>
            </w:pPr>
          </w:p>
        </w:tc>
      </w:tr>
      <w:tr>
        <w:trPr>
          <w:trHeight w:val="183"/>
        </w:trPr>
        <w:tc>
          <w:tcPr>
            <w:tcW w:w="4640" w:type="dxa"/>
            <w:vAlign w:val="bottom"/>
          </w:tcPr>
          <w:p>
            <w:pPr>
              <w:spacing w:after="0"/>
              <w:rPr>
                <w:sz w:val="15"/>
                <w:szCs w:val="15"/>
                <w:color w:val="auto"/>
              </w:rPr>
            </w:pPr>
          </w:p>
        </w:tc>
        <w:tc>
          <w:tcPr>
            <w:tcW w:w="368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between Lordstown Motors Corp. and Melissa</w:t>
              </w:r>
            </w:hyperlink>
          </w:p>
        </w:tc>
        <w:tc>
          <w:tcPr>
            <w:tcW w:w="320" w:type="dxa"/>
            <w:vAlign w:val="bottom"/>
            <w:gridSpan w:val="13"/>
          </w:tcPr>
          <w:p>
            <w:pPr>
              <w:spacing w:after="0"/>
              <w:rPr>
                <w:sz w:val="15"/>
                <w:szCs w:val="15"/>
                <w:color w:val="auto"/>
              </w:rPr>
            </w:pPr>
          </w:p>
        </w:tc>
      </w:tr>
      <w:tr>
        <w:trPr>
          <w:trHeight w:val="183"/>
        </w:trPr>
        <w:tc>
          <w:tcPr>
            <w:tcW w:w="464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Leonard</w:t>
              </w:r>
            </w:hyperlink>
          </w:p>
        </w:tc>
        <w:tc>
          <w:tcPr>
            <w:tcW w:w="3320" w:type="dxa"/>
            <w:vAlign w:val="bottom"/>
            <w:gridSpan w:val="35"/>
          </w:tcPr>
          <w:p>
            <w:pPr>
              <w:spacing w:after="0"/>
              <w:rPr>
                <w:sz w:val="15"/>
                <w:szCs w:val="15"/>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10.24</w:t>
            </w:r>
          </w:p>
        </w:tc>
        <w:tc>
          <w:tcPr>
            <w:tcW w:w="362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Intellectual Property License Agreement, between</w:t>
              </w:r>
            </w:hyperlink>
          </w:p>
        </w:tc>
        <w:tc>
          <w:tcPr>
            <w:tcW w:w="380" w:type="dxa"/>
            <w:vAlign w:val="bottom"/>
            <w:gridSpan w:val="1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Workhorse Group Inc. and Lordstown Motors Corp.,</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920" w:type="dxa"/>
            <w:vAlign w:val="bottom"/>
            <w:tcBorders>
              <w:bottom w:val="single" w:sz="8" w:color="0000EE"/>
            </w:tcBorders>
            <w:gridSpan w:val="33"/>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dated November 7, 2019 (incorporated by reference to</w:t>
              </w:r>
            </w:hyperlink>
          </w:p>
        </w:tc>
        <w:tc>
          <w:tcPr>
            <w:tcW w:w="80" w:type="dxa"/>
            <w:vAlign w:val="bottom"/>
            <w:gridSpan w:val="4"/>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9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the Annual Report on Form 10-K of Workhorse Group,</w:t>
              </w:r>
            </w:hyperlink>
          </w:p>
        </w:tc>
        <w:tc>
          <w:tcPr>
            <w:tcW w:w="100" w:type="dxa"/>
            <w:vAlign w:val="bottom"/>
            <w:gridSpan w:val="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16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Inc., filed with the SEC on March 13, 2020)</w:t>
              </w:r>
            </w:hyperlink>
          </w:p>
        </w:tc>
        <w:tc>
          <w:tcPr>
            <w:tcW w:w="840" w:type="dxa"/>
            <w:vAlign w:val="bottom"/>
            <w:gridSpan w:val="27"/>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10.25</w:t>
            </w:r>
          </w:p>
        </w:tc>
        <w:tc>
          <w:tcPr>
            <w:tcW w:w="4000" w:type="dxa"/>
            <w:vAlign w:val="bottom"/>
            <w:gridSpan w:val="37"/>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Agreement between Workhorse Group Inc. and</w:t>
              </w:r>
            </w:hyperlink>
          </w:p>
        </w:tc>
      </w:tr>
      <w:tr>
        <w:trPr>
          <w:trHeight w:val="169"/>
        </w:trPr>
        <w:tc>
          <w:tcPr>
            <w:tcW w:w="4640" w:type="dxa"/>
            <w:vAlign w:val="bottom"/>
          </w:tcPr>
          <w:p>
            <w:pPr>
              <w:spacing w:after="0"/>
              <w:rPr>
                <w:sz w:val="14"/>
                <w:szCs w:val="14"/>
                <w:color w:val="auto"/>
              </w:rPr>
            </w:pPr>
          </w:p>
        </w:tc>
        <w:tc>
          <w:tcPr>
            <w:tcW w:w="340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Lordstown Motors Corp., dated August 1, 2020</w:t>
              </w:r>
            </w:hyperlink>
          </w:p>
        </w:tc>
        <w:tc>
          <w:tcPr>
            <w:tcW w:w="600" w:type="dxa"/>
            <w:vAlign w:val="bottom"/>
            <w:gridSpan w:val="23"/>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7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(incorporated by reference to the Current Report on</w:t>
              </w:r>
            </w:hyperlink>
          </w:p>
        </w:tc>
        <w:tc>
          <w:tcPr>
            <w:tcW w:w="280" w:type="dxa"/>
            <w:vAlign w:val="bottom"/>
            <w:gridSpan w:val="1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Form 8-K of Workhorse Group, Inc., filed with the SEC</w:t>
              </w:r>
            </w:hyperlink>
          </w:p>
        </w:tc>
      </w:tr>
      <w:tr>
        <w:trPr>
          <w:trHeight w:val="169"/>
        </w:trPr>
        <w:tc>
          <w:tcPr>
            <w:tcW w:w="464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on August 4, 2020)</w:t>
              </w:r>
            </w:hyperlink>
          </w:p>
        </w:tc>
        <w:tc>
          <w:tcPr>
            <w:tcW w:w="2520" w:type="dxa"/>
            <w:vAlign w:val="bottom"/>
            <w:tcBorders>
              <w:top w:val="single" w:sz="8" w:color="0000EE"/>
            </w:tcBorders>
            <w:gridSpan w:val="27"/>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10.26</w:t>
            </w:r>
          </w:p>
        </w:tc>
        <w:tc>
          <w:tcPr>
            <w:tcW w:w="4000" w:type="dxa"/>
            <w:vAlign w:val="bottom"/>
            <w:gridSpan w:val="37"/>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License Agreement, between Elaphe Propulsion</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64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Technologies Ltd. and Lordstown Motors Corp., as</w:t>
              </w:r>
            </w:hyperlink>
          </w:p>
        </w:tc>
        <w:tc>
          <w:tcPr>
            <w:tcW w:w="360" w:type="dxa"/>
            <w:vAlign w:val="bottom"/>
            <w:gridSpan w:val="14"/>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7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amended by First Amendment, dated July 21, 2020</w:t>
              </w:r>
            </w:hyperlink>
          </w:p>
        </w:tc>
        <w:tc>
          <w:tcPr>
            <w:tcW w:w="280" w:type="dxa"/>
            <w:vAlign w:val="bottom"/>
            <w:gridSpan w:val="1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(incorporated by reference to the Company’s Current</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Report on Form 8-K, filed with the SEC on October 29,</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7">
              <w:r>
                <w:rPr>
                  <w:rFonts w:ascii="Arial" w:cs="Arial" w:eastAsia="Arial" w:hAnsi="Arial"/>
                  <w:sz w:val="16"/>
                  <w:szCs w:val="16"/>
                  <w:color w:val="0000EE"/>
                  <w:w w:val="97"/>
                </w:rPr>
                <w:t>2020)</w:t>
              </w:r>
            </w:hyperlink>
          </w:p>
        </w:tc>
        <w:tc>
          <w:tcPr>
            <w:tcW w:w="2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10.27</w:t>
            </w: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Facilities and Support Agreement, between Elaphe</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Propulsion Technologies Ltd. and Lordstown Motors</w:t>
              </w:r>
            </w:hyperlink>
          </w:p>
        </w:tc>
      </w:tr>
      <w:tr>
        <w:trPr>
          <w:trHeight w:val="169"/>
        </w:trPr>
        <w:tc>
          <w:tcPr>
            <w:tcW w:w="4640" w:type="dxa"/>
            <w:vAlign w:val="bottom"/>
          </w:tcPr>
          <w:p>
            <w:pPr>
              <w:spacing w:after="0"/>
              <w:rPr>
                <w:sz w:val="14"/>
                <w:szCs w:val="14"/>
                <w:color w:val="auto"/>
              </w:rPr>
            </w:pPr>
          </w:p>
        </w:tc>
        <w:tc>
          <w:tcPr>
            <w:tcW w:w="372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Corp., dated March 16, 2020 (incorporated by</w:t>
              </w:r>
            </w:hyperlink>
          </w:p>
        </w:tc>
        <w:tc>
          <w:tcPr>
            <w:tcW w:w="280" w:type="dxa"/>
            <w:vAlign w:val="bottom"/>
            <w:gridSpan w:val="12"/>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96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reference to the Company’s Current Report on Form 8-</w:t>
              </w:r>
            </w:hyperlink>
          </w:p>
        </w:tc>
        <w:tc>
          <w:tcPr>
            <w:tcW w:w="40" w:type="dxa"/>
            <w:vAlign w:val="bottom"/>
            <w:gridSpan w:val="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08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K, filed with the SEC on October 29, 2020)</w:t>
              </w:r>
            </w:hyperlink>
          </w:p>
        </w:tc>
        <w:tc>
          <w:tcPr>
            <w:tcW w:w="920" w:type="dxa"/>
            <w:vAlign w:val="bottom"/>
            <w:gridSpan w:val="28"/>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10.28</w:t>
            </w: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Asset Transfer Agreement, dated November 7, 2019,</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80" w:type="dxa"/>
            <w:vAlign w:val="bottom"/>
            <w:tcBorders>
              <w:bottom w:val="single" w:sz="8" w:color="0000EE"/>
            </w:tcBorders>
            <w:gridSpan w:val="31"/>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between Lordstown Motors Corp. and General Motors</w:t>
              </w:r>
            </w:hyperlink>
          </w:p>
        </w:tc>
        <w:tc>
          <w:tcPr>
            <w:tcW w:w="120" w:type="dxa"/>
            <w:vAlign w:val="bottom"/>
            <w:gridSpan w:val="6"/>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LLC, and amended by that certain Amendment to Asset</w:t>
              </w:r>
            </w:hyperlink>
          </w:p>
        </w:tc>
      </w:tr>
      <w:tr>
        <w:trPr>
          <w:trHeight w:val="169"/>
        </w:trPr>
        <w:tc>
          <w:tcPr>
            <w:tcW w:w="4640" w:type="dxa"/>
            <w:vAlign w:val="bottom"/>
          </w:tcPr>
          <w:p>
            <w:pPr>
              <w:spacing w:after="0"/>
              <w:rPr>
                <w:sz w:val="14"/>
                <w:szCs w:val="14"/>
                <w:color w:val="auto"/>
              </w:rPr>
            </w:pPr>
          </w:p>
        </w:tc>
        <w:tc>
          <w:tcPr>
            <w:tcW w:w="306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Purchase Agreement, dated May 28, 2020</w:t>
              </w:r>
            </w:hyperlink>
          </w:p>
        </w:tc>
        <w:tc>
          <w:tcPr>
            <w:tcW w:w="940" w:type="dxa"/>
            <w:vAlign w:val="bottom"/>
            <w:gridSpan w:val="2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(incorporated by reference to the Company’s Current</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Report on Form 8-K, filed with the SEC on October 29,</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9">
              <w:r>
                <w:rPr>
                  <w:rFonts w:ascii="Arial" w:cs="Arial" w:eastAsia="Arial" w:hAnsi="Arial"/>
                  <w:sz w:val="16"/>
                  <w:szCs w:val="16"/>
                  <w:color w:val="0000EE"/>
                  <w:w w:val="97"/>
                </w:rPr>
                <w:t>2020)</w:t>
              </w:r>
            </w:hyperlink>
          </w:p>
        </w:tc>
        <w:tc>
          <w:tcPr>
            <w:tcW w:w="2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10.29</w:t>
            </w:r>
          </w:p>
        </w:tc>
        <w:tc>
          <w:tcPr>
            <w:tcW w:w="360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Omnibus Agreement, dated July 31, 2020, by and</w:t>
              </w:r>
            </w:hyperlink>
          </w:p>
        </w:tc>
        <w:tc>
          <w:tcPr>
            <w:tcW w:w="400" w:type="dxa"/>
            <w:vAlign w:val="bottom"/>
            <w:gridSpan w:val="16"/>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among General Motors LLC, GM EV Holdings LLC,</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60" w:type="dxa"/>
            <w:vAlign w:val="bottom"/>
            <w:gridSpan w:val="16"/>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84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Lordstown Motors Corp., and DiamondPeak Holdings</w:t>
              </w:r>
            </w:hyperlink>
          </w:p>
        </w:tc>
        <w:tc>
          <w:tcPr>
            <w:tcW w:w="160" w:type="dxa"/>
            <w:vAlign w:val="bottom"/>
            <w:gridSpan w:val="8"/>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Corp. (incorporated by reference to the Company’s</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Current Report on Form 8-K, filed with the SEC on</w:t>
              </w:r>
            </w:hyperlink>
          </w:p>
        </w:tc>
      </w:tr>
      <w:tr>
        <w:trPr>
          <w:trHeight w:val="169"/>
        </w:trPr>
        <w:tc>
          <w:tcPr>
            <w:tcW w:w="464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October 29, 2020)</w:t>
              </w:r>
            </w:hyperlink>
          </w:p>
        </w:tc>
        <w:tc>
          <w:tcPr>
            <w:tcW w:w="2300" w:type="dxa"/>
            <w:vAlign w:val="bottom"/>
            <w:tcBorders>
              <w:top w:val="single" w:sz="8" w:color="0000EE"/>
            </w:tcBorders>
            <w:gridSpan w:val="18"/>
          </w:tcPr>
          <w:p>
            <w:pPr>
              <w:spacing w:after="0"/>
              <w:rPr>
                <w:sz w:val="14"/>
                <w:szCs w:val="14"/>
                <w:color w:val="auto"/>
              </w:rPr>
            </w:pPr>
          </w:p>
        </w:tc>
        <w:tc>
          <w:tcPr>
            <w:tcW w:w="380" w:type="dxa"/>
            <w:vAlign w:val="bottom"/>
            <w:gridSpan w:val="15"/>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10.30</w:t>
            </w:r>
          </w:p>
        </w:tc>
        <w:tc>
          <w:tcPr>
            <w:tcW w:w="358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Equity Purchase Agreement, dated July 23, 2021,</w:t>
              </w:r>
            </w:hyperlink>
          </w:p>
        </w:tc>
        <w:tc>
          <w:tcPr>
            <w:tcW w:w="420" w:type="dxa"/>
            <w:vAlign w:val="bottom"/>
            <w:gridSpan w:val="17"/>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0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between Lordstown Motors Corp. and YA II PN, LTD.</w:t>
              </w:r>
            </w:hyperlink>
          </w:p>
        </w:tc>
        <w:tc>
          <w:tcPr>
            <w:tcW w:w="200" w:type="dxa"/>
            <w:vAlign w:val="bottom"/>
            <w:gridSpan w:val="11"/>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(incorporated by reference to the Company’s Current</w:t>
              </w:r>
            </w:hyperlink>
          </w:p>
        </w:tc>
        <w:tc>
          <w:tcPr>
            <w:tcW w:w="180" w:type="dxa"/>
            <w:vAlign w:val="bottom"/>
            <w:gridSpan w:val="1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Report on Form 8-K, filed with the SEC on July 26,</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41">
              <w:r>
                <w:rPr>
                  <w:rFonts w:ascii="Arial" w:cs="Arial" w:eastAsia="Arial" w:hAnsi="Arial"/>
                  <w:sz w:val="16"/>
                  <w:szCs w:val="16"/>
                  <w:color w:val="0000EE"/>
                  <w:w w:val="97"/>
                </w:rPr>
                <w:t>2021)</w:t>
              </w:r>
            </w:hyperlink>
          </w:p>
        </w:tc>
        <w:tc>
          <w:tcPr>
            <w:tcW w:w="2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10.31</w:t>
            </w:r>
          </w:p>
        </w:tc>
        <w:tc>
          <w:tcPr>
            <w:tcW w:w="400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Asset Purchase Agreement, dated November 10, 2021,</w:t>
              </w:r>
            </w:hyperlink>
          </w:p>
        </w:tc>
      </w:tr>
    </w:tbl>
    <w:p>
      <w:pPr>
        <w:sectPr>
          <w:pgSz w:w="11900" w:h="16864" w:orient="portrait"/>
          <w:cols w:equalWidth="0" w:num="1">
            <w:col w:w="9019"/>
          </w:cols>
          <w:pgMar w:left="1440" w:top="530" w:right="1440" w:bottom="0" w:gutter="0" w:footer="0" w:header="0"/>
        </w:sectPr>
      </w:pPr>
    </w:p>
    <w:bookmarkStart w:id="100" w:name="page101"/>
    <w:bookmarkEnd w:id="10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80" w:type="dxa"/>
            <w:vAlign w:val="bottom"/>
            <w:tcBorders>
              <w:bottom w:val="single" w:sz="8" w:color="0000EE"/>
            </w:tcBorders>
            <w:gridSpan w:val="11"/>
          </w:tcPr>
          <w:p>
            <w:pPr>
              <w:spacing w:after="0"/>
              <w:rPr>
                <w:rFonts w:ascii="Arial" w:cs="Arial" w:eastAsia="Arial" w:hAnsi="Arial"/>
                <w:sz w:val="16"/>
                <w:szCs w:val="16"/>
                <w:color w:val="0000EE"/>
              </w:rPr>
            </w:pPr>
            <w:hyperlink r:id="rId142">
              <w:r>
                <w:rPr>
                  <w:rFonts w:ascii="Arial" w:cs="Arial" w:eastAsia="Arial" w:hAnsi="Arial"/>
                  <w:sz w:val="16"/>
                  <w:szCs w:val="16"/>
                  <w:color w:val="0000EE"/>
                </w:rPr>
                <w:t>between Lordstown Motors Corp. and Foxconn</w:t>
              </w:r>
            </w:hyperlink>
          </w:p>
        </w:tc>
        <w:tc>
          <w:tcPr>
            <w:tcW w:w="880" w:type="dxa"/>
            <w:vAlign w:val="bottom"/>
            <w:gridSpan w:val="8"/>
          </w:tcPr>
          <w:p>
            <w:pPr>
              <w:spacing w:after="0"/>
              <w:rPr>
                <w:sz w:val="16"/>
                <w:szCs w:val="16"/>
                <w:color w:val="auto"/>
              </w:rPr>
            </w:pPr>
          </w:p>
        </w:tc>
      </w:tr>
      <w:tr>
        <w:trPr>
          <w:trHeight w:val="169"/>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8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(incorporated by reference to the Company’s Current</w:t>
              </w:r>
            </w:hyperlink>
          </w:p>
        </w:tc>
        <w:tc>
          <w:tcPr>
            <w:tcW w:w="480" w:type="dxa"/>
            <w:vAlign w:val="bottom"/>
            <w:gridSpan w:val="4"/>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60" w:type="dxa"/>
            <w:vAlign w:val="bottom"/>
            <w:gridSpan w:val="19"/>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Report on Form 8-K filed with the SEC on November</w:t>
              </w:r>
            </w:hyperlink>
          </w:p>
        </w:tc>
      </w:tr>
      <w:tr>
        <w:trPr>
          <w:trHeight w:val="169"/>
        </w:trPr>
        <w:tc>
          <w:tcPr>
            <w:tcW w:w="940" w:type="dxa"/>
            <w:vAlign w:val="bottom"/>
          </w:tcPr>
          <w:p>
            <w:pPr>
              <w:spacing w:after="0"/>
              <w:rPr>
                <w:sz w:val="14"/>
                <w:szCs w:val="14"/>
                <w:color w:val="auto"/>
              </w:rPr>
            </w:pPr>
          </w:p>
        </w:tc>
        <w:tc>
          <w:tcPr>
            <w:tcW w:w="3720" w:type="dxa"/>
            <w:vAlign w:val="bottom"/>
            <w:gridSpan w:val="2"/>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42">
              <w:r>
                <w:rPr>
                  <w:rFonts w:ascii="Arial" w:cs="Arial" w:eastAsia="Arial" w:hAnsi="Arial"/>
                  <w:sz w:val="16"/>
                  <w:szCs w:val="16"/>
                  <w:color w:val="0000EE"/>
                  <w:w w:val="97"/>
                </w:rPr>
                <w:t>10, 2021)</w:t>
              </w:r>
            </w:hyperlink>
          </w:p>
        </w:tc>
        <w:tc>
          <w:tcPr>
            <w:tcW w:w="4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16.1</w:t>
            </w: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8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Letter from WithumSmith+Brown, PC to the SEC, dated</w:t>
              </w:r>
            </w:hyperlink>
          </w:p>
        </w:tc>
        <w:tc>
          <w:tcPr>
            <w:tcW w:w="28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4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October 28, 2020 (incorporated by reference to the</w:t>
              </w:r>
            </w:hyperlink>
          </w:p>
        </w:tc>
        <w:tc>
          <w:tcPr>
            <w:tcW w:w="620" w:type="dxa"/>
            <w:vAlign w:val="bottom"/>
            <w:gridSpan w:val="6"/>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60" w:type="dxa"/>
            <w:vAlign w:val="bottom"/>
            <w:gridSpan w:val="19"/>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Company’s Current Report on Form 8-K, filed with the</w:t>
              </w:r>
            </w:hyperlink>
          </w:p>
        </w:tc>
      </w:tr>
      <w:tr>
        <w:trPr>
          <w:trHeight w:val="169"/>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9"/>
              </w:rPr>
            </w:pPr>
            <w:hyperlink r:id="rId143">
              <w:r>
                <w:rPr>
                  <w:rFonts w:ascii="Arial" w:cs="Arial" w:eastAsia="Arial" w:hAnsi="Arial"/>
                  <w:sz w:val="16"/>
                  <w:szCs w:val="16"/>
                  <w:color w:val="0000EE"/>
                  <w:w w:val="99"/>
                </w:rPr>
                <w:t>SEC on October 29, 2020)</w:t>
              </w:r>
            </w:hyperlink>
          </w:p>
        </w:tc>
        <w:tc>
          <w:tcPr>
            <w:tcW w:w="1940" w:type="dxa"/>
            <w:vAlign w:val="bottom"/>
            <w:tcBorders>
              <w:top w:val="single" w:sz="8" w:color="0000EE"/>
            </w:tcBorders>
            <w:gridSpan w:val="12"/>
          </w:tcPr>
          <w:p>
            <w:pPr>
              <w:spacing w:after="0"/>
              <w:rPr>
                <w:sz w:val="14"/>
                <w:szCs w:val="14"/>
                <w:color w:val="auto"/>
              </w:rPr>
            </w:pPr>
          </w:p>
        </w:tc>
        <w:tc>
          <w:tcPr>
            <w:tcW w:w="420" w:type="dxa"/>
            <w:vAlign w:val="bottom"/>
            <w:gridSpan w:val="2"/>
          </w:tcPr>
          <w:p>
            <w:pPr>
              <w:spacing w:after="0"/>
              <w:rPr>
                <w:sz w:val="14"/>
                <w:szCs w:val="14"/>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6"/>
                <w:szCs w:val="16"/>
                <w:color w:val="auto"/>
              </w:rPr>
              <w:t>21.1</w:t>
            </w: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List of Subsidiaries</w:t>
              </w:r>
            </w:hyperlink>
          </w:p>
        </w:tc>
        <w:tc>
          <w:tcPr>
            <w:tcW w:w="2760" w:type="dxa"/>
            <w:vAlign w:val="bottom"/>
            <w:gridSpan w:val="15"/>
          </w:tcPr>
          <w:p>
            <w:pPr>
              <w:spacing w:after="0"/>
              <w:rPr>
                <w:sz w:val="15"/>
                <w:szCs w:val="15"/>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60" w:type="dxa"/>
            <w:vAlign w:val="bottom"/>
            <w:tcBorders>
              <w:bottom w:val="single" w:sz="8" w:color="0000EE"/>
            </w:tcBorders>
            <w:gridSpan w:val="10"/>
          </w:tcPr>
          <w:p>
            <w:pPr>
              <w:spacing w:after="0" w:line="169" w:lineRule="exact"/>
              <w:rPr>
                <w:rFonts w:ascii="Arial" w:cs="Arial" w:eastAsia="Arial" w:hAnsi="Arial"/>
                <w:sz w:val="16"/>
                <w:szCs w:val="16"/>
                <w:color w:val="0000EE"/>
                <w:w w:val="99"/>
              </w:rPr>
            </w:pPr>
            <w:hyperlink r:id="rId145">
              <w:r>
                <w:rPr>
                  <w:rFonts w:ascii="Arial" w:cs="Arial" w:eastAsia="Arial" w:hAnsi="Arial"/>
                  <w:sz w:val="16"/>
                  <w:szCs w:val="16"/>
                  <w:color w:val="0000EE"/>
                  <w:w w:val="99"/>
                </w:rPr>
                <w:t>Consent of KPMG LLP, independent registered</w:t>
              </w:r>
            </w:hyperlink>
          </w:p>
        </w:tc>
        <w:tc>
          <w:tcPr>
            <w:tcW w:w="900" w:type="dxa"/>
            <w:vAlign w:val="bottom"/>
            <w:gridSpan w:val="9"/>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r:id="rId145">
              <w:r>
                <w:rPr>
                  <w:rFonts w:ascii="Arial" w:cs="Arial" w:eastAsia="Arial" w:hAnsi="Arial"/>
                  <w:sz w:val="16"/>
                  <w:szCs w:val="16"/>
                  <w:color w:val="0000EE"/>
                  <w:w w:val="99"/>
                </w:rPr>
                <w:t>accounting firm.</w:t>
              </w:r>
            </w:hyperlink>
          </w:p>
        </w:tc>
        <w:tc>
          <w:tcPr>
            <w:tcW w:w="3120" w:type="dxa"/>
            <w:vAlign w:val="bottom"/>
            <w:gridSpan w:val="17"/>
          </w:tcPr>
          <w:p>
            <w:pPr>
              <w:spacing w:after="0"/>
              <w:rPr>
                <w:sz w:val="14"/>
                <w:szCs w:val="14"/>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6"/>
                <w:szCs w:val="16"/>
                <w:color w:val="auto"/>
              </w:rPr>
              <w:t>23.2*</w:t>
            </w: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0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Consent of Clark, Schaefer, Hackett &amp; Co</w:t>
              </w:r>
            </w:hyperlink>
          </w:p>
        </w:tc>
        <w:tc>
          <w:tcPr>
            <w:tcW w:w="960" w:type="dxa"/>
            <w:vAlign w:val="bottom"/>
            <w:gridSpan w:val="10"/>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Independent Registered Public Accounting Firm</w:t>
              </w:r>
            </w:hyperlink>
          </w:p>
        </w:tc>
      </w:tr>
      <w:tr>
        <w:trPr>
          <w:trHeight w:val="20"/>
        </w:trPr>
        <w:tc>
          <w:tcPr>
            <w:tcW w:w="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60" w:type="dxa"/>
            <w:vAlign w:val="bottom"/>
            <w:gridSpan w:val="19"/>
          </w:tcPr>
          <w:p>
            <w:pPr>
              <w:spacing w:after="0" w:line="169" w:lineRule="exact"/>
              <w:rPr>
                <w:rFonts w:ascii="Arial" w:cs="Arial" w:eastAsia="Arial" w:hAnsi="Arial"/>
                <w:sz w:val="16"/>
                <w:szCs w:val="16"/>
                <w:color w:val="0000EE"/>
              </w:rPr>
            </w:pPr>
            <w:hyperlink w:anchor="page104">
              <w:r>
                <w:rPr>
                  <w:rFonts w:ascii="Arial" w:cs="Arial" w:eastAsia="Arial" w:hAnsi="Arial"/>
                  <w:sz w:val="16"/>
                  <w:szCs w:val="16"/>
                  <w:color w:val="0000EE"/>
                </w:rPr>
                <w:t xml:space="preserve">Power of Attorney </w:t>
              </w:r>
            </w:hyperlink>
            <w:r>
              <w:rPr>
                <w:rFonts w:ascii="Arial" w:cs="Arial" w:eastAsia="Arial" w:hAnsi="Arial"/>
                <w:sz w:val="16"/>
                <w:szCs w:val="16"/>
                <w:color w:val="000000"/>
              </w:rPr>
              <w:t>(included</w:t>
            </w:r>
            <w:r>
              <w:rPr>
                <w:rFonts w:ascii="Arial" w:cs="Arial" w:eastAsia="Arial" w:hAnsi="Arial"/>
                <w:sz w:val="16"/>
                <w:szCs w:val="16"/>
                <w:color w:val="0000EE"/>
              </w:rPr>
              <w:t xml:space="preserve"> </w:t>
            </w:r>
            <w:r>
              <w:rPr>
                <w:rFonts w:ascii="Arial" w:cs="Arial" w:eastAsia="Arial" w:hAnsi="Arial"/>
                <w:sz w:val="16"/>
                <w:szCs w:val="16"/>
                <w:color w:val="000000"/>
              </w:rPr>
              <w:t>on signature page hereto)</w:t>
            </w:r>
          </w:p>
        </w:tc>
      </w:tr>
      <w:tr>
        <w:trPr>
          <w:trHeight w:val="20"/>
        </w:trPr>
        <w:tc>
          <w:tcPr>
            <w:tcW w:w="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6"/>
                <w:szCs w:val="16"/>
                <w:color w:val="auto"/>
              </w:rPr>
              <w:t>31.1*</w:t>
            </w: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Certification of Principal Executive Officer</w:t>
              </w:r>
            </w:hyperlink>
          </w:p>
        </w:tc>
      </w:tr>
      <w:tr>
        <w:trPr>
          <w:trHeight w:val="20"/>
        </w:trPr>
        <w:tc>
          <w:tcPr>
            <w:tcW w:w="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pursuant to Rule 13a-14(a) or Rule 15d-14(a)</w:t>
              </w:r>
            </w:hyperlink>
          </w:p>
        </w:tc>
      </w:tr>
      <w:tr>
        <w:trPr>
          <w:trHeight w:val="20"/>
        </w:trPr>
        <w:tc>
          <w:tcPr>
            <w:tcW w:w="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6"/>
                <w:szCs w:val="16"/>
                <w:color w:val="auto"/>
              </w:rPr>
              <w:t>31.2*</w:t>
            </w: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Certification of Principal Financial Officer pursuant</w:t>
              </w:r>
            </w:hyperlink>
          </w:p>
        </w:tc>
        <w:tc>
          <w:tcPr>
            <w:tcW w:w="28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to Rule 13a-14(a) or Rule 15d-14(a)</w:t>
              </w:r>
            </w:hyperlink>
          </w:p>
        </w:tc>
        <w:tc>
          <w:tcPr>
            <w:tcW w:w="1400" w:type="dxa"/>
            <w:vAlign w:val="bottom"/>
            <w:gridSpan w:val="13"/>
          </w:tcPr>
          <w:p>
            <w:pPr>
              <w:spacing w:after="0"/>
              <w:rPr>
                <w:sz w:val="15"/>
                <w:szCs w:val="15"/>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6"/>
                <w:szCs w:val="16"/>
                <w:color w:val="auto"/>
              </w:rPr>
              <w:t>32.1*</w:t>
            </w: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Certification pursuant to 18 U.S.C. 1350</w:t>
              </w:r>
            </w:hyperlink>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6"/>
                <w:szCs w:val="16"/>
                <w:color w:val="auto"/>
              </w:rPr>
              <w:t>32.2*</w:t>
            </w:r>
          </w:p>
        </w:tc>
        <w:tc>
          <w:tcPr>
            <w:tcW w:w="3180" w:type="dxa"/>
            <w:vAlign w:val="bottom"/>
            <w:tcBorders>
              <w:bottom w:val="single" w:sz="8" w:color="0000EE"/>
            </w:tcBorders>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Certification pursuant to 18 U.S.C. 1350</w:t>
              </w:r>
            </w:hyperlink>
          </w:p>
        </w:tc>
        <w:tc>
          <w:tcPr>
            <w:tcW w:w="540" w:type="dxa"/>
            <w:vAlign w:val="bottom"/>
          </w:tcPr>
          <w:p>
            <w:pPr>
              <w:spacing w:after="0"/>
              <w:rPr>
                <w:sz w:val="15"/>
                <w:szCs w:val="15"/>
                <w:color w:val="auto"/>
              </w:rPr>
            </w:pPr>
          </w:p>
        </w:tc>
        <w:tc>
          <w:tcPr>
            <w:tcW w:w="3180" w:type="dxa"/>
            <w:vAlign w:val="bottom"/>
            <w:tcBorders>
              <w:top w:val="single" w:sz="8" w:color="0000EE"/>
            </w:tcBorders>
            <w:gridSpan w:val="7"/>
          </w:tcPr>
          <w:p>
            <w:pPr>
              <w:spacing w:after="0"/>
              <w:rPr>
                <w:sz w:val="15"/>
                <w:szCs w:val="15"/>
                <w:color w:val="auto"/>
              </w:rPr>
            </w:pPr>
          </w:p>
        </w:tc>
        <w:tc>
          <w:tcPr>
            <w:tcW w:w="1080" w:type="dxa"/>
            <w:vAlign w:val="bottom"/>
            <w:gridSpan w:val="12"/>
          </w:tcPr>
          <w:p>
            <w:pPr>
              <w:spacing w:after="0"/>
              <w:rPr>
                <w:sz w:val="15"/>
                <w:szCs w:val="15"/>
                <w:color w:val="auto"/>
              </w:rPr>
            </w:pPr>
          </w:p>
        </w:tc>
      </w:tr>
      <w:tr>
        <w:trPr>
          <w:trHeight w:val="655"/>
        </w:trPr>
        <w:tc>
          <w:tcPr>
            <w:tcW w:w="940" w:type="dxa"/>
            <w:vAlign w:val="bottom"/>
          </w:tcPr>
          <w:p>
            <w:pPr>
              <w:spacing w:after="0"/>
              <w:rPr>
                <w:sz w:val="24"/>
                <w:szCs w:val="24"/>
                <w:color w:val="auto"/>
              </w:rPr>
            </w:pPr>
          </w:p>
        </w:tc>
        <w:tc>
          <w:tcPr>
            <w:tcW w:w="37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7720" w:type="dxa"/>
            <w:vAlign w:val="bottom"/>
            <w:tcBorders>
              <w:bottom w:val="single" w:sz="8" w:color="auto"/>
            </w:tcBorders>
          </w:tcPr>
          <w:p>
            <w:pPr>
              <w:ind w:left="5280"/>
              <w:spacing w:after="0"/>
              <w:rPr>
                <w:sz w:val="20"/>
                <w:szCs w:val="20"/>
                <w:color w:val="auto"/>
              </w:rPr>
            </w:pPr>
            <w:r>
              <w:rPr>
                <w:rFonts w:ascii="Arial" w:cs="Arial" w:eastAsia="Arial" w:hAnsi="Arial"/>
                <w:sz w:val="16"/>
                <w:szCs w:val="16"/>
                <w:b w:val="1"/>
                <w:bCs w:val="1"/>
                <w:color w:val="auto"/>
              </w:rPr>
              <w:t>Description</w:t>
            </w:r>
          </w:p>
        </w:tc>
      </w:tr>
      <w:tr>
        <w:trPr>
          <w:trHeight w:val="184"/>
        </w:trPr>
        <w:tc>
          <w:tcPr>
            <w:tcW w:w="920" w:type="dxa"/>
            <w:vAlign w:val="bottom"/>
          </w:tcPr>
          <w:p>
            <w:pPr>
              <w:ind w:left="20"/>
              <w:spacing w:after="0"/>
              <w:rPr>
                <w:sz w:val="20"/>
                <w:szCs w:val="20"/>
                <w:color w:val="auto"/>
              </w:rPr>
            </w:pPr>
            <w:r>
              <w:rPr>
                <w:rFonts w:ascii="Arial" w:cs="Arial" w:eastAsia="Arial" w:hAnsi="Arial"/>
                <w:sz w:val="16"/>
                <w:szCs w:val="16"/>
                <w:color w:val="auto"/>
              </w:rPr>
              <w:t>101.INS*</w:t>
            </w:r>
          </w:p>
        </w:tc>
        <w:tc>
          <w:tcPr>
            <w:tcW w:w="7720" w:type="dxa"/>
            <w:vAlign w:val="bottom"/>
          </w:tcPr>
          <w:p>
            <w:pPr>
              <w:ind w:left="2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w:t>
            </w:r>
          </w:p>
        </w:tc>
      </w:tr>
      <w:tr>
        <w:trPr>
          <w:trHeight w:val="189"/>
        </w:trPr>
        <w:tc>
          <w:tcPr>
            <w:tcW w:w="920" w:type="dxa"/>
            <w:vAlign w:val="bottom"/>
          </w:tcPr>
          <w:p>
            <w:pPr>
              <w:spacing w:after="0"/>
              <w:rPr>
                <w:sz w:val="16"/>
                <w:szCs w:val="16"/>
                <w:color w:val="auto"/>
              </w:rPr>
            </w:pPr>
          </w:p>
        </w:tc>
        <w:tc>
          <w:tcPr>
            <w:tcW w:w="7720" w:type="dxa"/>
            <w:vAlign w:val="bottom"/>
          </w:tcPr>
          <w:p>
            <w:pPr>
              <w:ind w:left="20"/>
              <w:spacing w:after="0"/>
              <w:rPr>
                <w:sz w:val="20"/>
                <w:szCs w:val="20"/>
                <w:color w:val="auto"/>
              </w:rPr>
            </w:pPr>
            <w:r>
              <w:rPr>
                <w:rFonts w:ascii="Arial" w:cs="Arial" w:eastAsia="Arial" w:hAnsi="Arial"/>
                <w:sz w:val="16"/>
                <w:szCs w:val="16"/>
                <w:color w:val="auto"/>
              </w:rPr>
              <w:t>XBRL tags are embedded within the Inline XBRL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101.SCH*</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101.CAL*</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101.DEF*</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101.LAB*</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101.PRE*</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720" w:type="dxa"/>
            <w:vAlign w:val="bottom"/>
          </w:tcPr>
          <w:p>
            <w:pPr>
              <w:ind w:left="20"/>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20" w:type="dxa"/>
            <w:vAlign w:val="bottom"/>
          </w:tcPr>
          <w:p>
            <w:pPr>
              <w:spacing w:after="0"/>
              <w:rPr>
                <w:sz w:val="16"/>
                <w:szCs w:val="16"/>
                <w:color w:val="auto"/>
              </w:rPr>
            </w:pPr>
          </w:p>
        </w:tc>
        <w:tc>
          <w:tcPr>
            <w:tcW w:w="7720" w:type="dxa"/>
            <w:vAlign w:val="bottom"/>
          </w:tcPr>
          <w:p>
            <w:pPr>
              <w:ind w:left="20"/>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399" w:lineRule="exact"/>
        <w:rPr>
          <w:sz w:val="20"/>
          <w:szCs w:val="20"/>
          <w:color w:val="auto"/>
        </w:rPr>
      </w:pPr>
    </w:p>
    <w:p>
      <w:pPr>
        <w:ind w:left="380" w:right="159" w:hanging="316"/>
        <w:spacing w:after="0" w:line="197" w:lineRule="auto"/>
        <w:tabs>
          <w:tab w:leader="none" w:pos="380" w:val="left"/>
        </w:tabs>
        <w:numPr>
          <w:ilvl w:val="0"/>
          <w:numId w:val="38"/>
        </w:numPr>
        <w:rPr>
          <w:rFonts w:ascii="Arial" w:cs="Arial" w:eastAsia="Arial" w:hAnsi="Arial"/>
          <w:sz w:val="24"/>
          <w:szCs w:val="24"/>
          <w:color w:val="auto"/>
          <w:vertAlign w:val="superscript"/>
        </w:rPr>
      </w:pPr>
      <w:r>
        <w:rPr>
          <w:rFonts w:ascii="Arial" w:cs="Arial" w:eastAsia="Arial" w:hAnsi="Arial"/>
          <w:sz w:val="16"/>
          <w:szCs w:val="16"/>
          <w:color w:val="auto"/>
        </w:rPr>
        <w:t>The schedules and exhibits to this agreement have been omitted pursuant to Item 601(b)(2) of Regulation S-K. A copy of any omitted schedule and/or exhibit will be furnished to the SEC upon request.</w:t>
      </w:r>
    </w:p>
    <w:p>
      <w:pPr>
        <w:ind w:left="60" w:right="3579" w:firstLine="4"/>
        <w:spacing w:after="0" w:line="260" w:lineRule="auto"/>
        <w:tabs>
          <w:tab w:leader="none" w:pos="3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60" w:right="619"/>
        <w:spacing w:after="0"/>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Annual Report on Form 10-K to be signed on its behalf by the undersigned, thereunto duly authorized.</w:t>
      </w:r>
    </w:p>
    <w:p>
      <w:pPr>
        <w:spacing w:after="0" w:line="19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LORDSTOWN MOTORS CORP.</w:t>
      </w:r>
    </w:p>
    <w:p>
      <w:pPr>
        <w:spacing w:after="0" w:line="214"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6"/>
          <w:szCs w:val="16"/>
          <w:color w:val="auto"/>
        </w:rPr>
        <w:t>Date: February 28, 2022</w:t>
      </w:r>
      <w:r>
        <w:rPr>
          <w:sz w:val="20"/>
          <w:szCs w:val="20"/>
          <w:color w:val="auto"/>
        </w:rPr>
        <w:tab/>
      </w:r>
      <w:r>
        <w:rPr>
          <w:rFonts w:ascii="Arial" w:cs="Arial" w:eastAsia="Arial" w:hAnsi="Arial"/>
          <w:sz w:val="16"/>
          <w:szCs w:val="16"/>
          <w:color w:val="auto"/>
        </w:rPr>
        <w:t>/s/ 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1905</wp:posOffset>
            </wp:positionV>
            <wp:extent cx="27857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6"/>
          <w:szCs w:val="16"/>
          <w:color w:val="auto"/>
        </w:rPr>
        <w:t>Name: Daniel Ninivaggi</w:t>
      </w:r>
    </w:p>
    <w:p>
      <w:pPr>
        <w:spacing w:after="0" w:line="5"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Daniel Ninivaggi, Adam Kroll and Melissa A. Leonard, and each of them, his or her true and lawful attorneys-in-fact and agents, each with full power of substitution and resubstitution, for him or her and in his or her name, place and stead, in any and all capacities, to sign this Annual Report on Form 10-K for the fiscal year ended December 31, 2021,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0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9019"/>
          </w:cols>
          <w:pgMar w:left="1440" w:top="530" w:right="1440" w:bottom="1440" w:gutter="0" w:footer="0" w:header="0"/>
        </w:sectPr>
      </w:pP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08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195"/>
        </w:trPr>
        <w:tc>
          <w:tcPr>
            <w:tcW w:w="3560" w:type="dxa"/>
            <w:vAlign w:val="bottom"/>
          </w:tcPr>
          <w:p>
            <w:pPr>
              <w:jc w:val="center"/>
              <w:spacing w:after="0"/>
              <w:rPr>
                <w:sz w:val="20"/>
                <w:szCs w:val="20"/>
                <w:color w:val="auto"/>
              </w:rPr>
            </w:pPr>
            <w:r>
              <w:rPr>
                <w:rFonts w:ascii="Arial" w:cs="Arial" w:eastAsia="Arial" w:hAnsi="Arial"/>
                <w:sz w:val="16"/>
                <w:szCs w:val="16"/>
                <w:color w:val="auto"/>
              </w:rPr>
              <w:t>/s/ Daniel Ninivaggi</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560" w:type="dxa"/>
            <w:vAlign w:val="bottom"/>
            <w:tcBorders>
              <w:bottom w:val="single" w:sz="8" w:color="auto"/>
            </w:tcBorders>
          </w:tcPr>
          <w:p>
            <w:pPr>
              <w:spacing w:after="0"/>
              <w:rPr>
                <w:sz w:val="24"/>
                <w:szCs w:val="24"/>
                <w:color w:val="auto"/>
              </w:rPr>
            </w:pP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63"/>
        </w:trPr>
        <w:tc>
          <w:tcPr>
            <w:tcW w:w="35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560" w:type="dxa"/>
            <w:vAlign w:val="bottom"/>
          </w:tcPr>
          <w:p>
            <w:pPr>
              <w:jc w:val="center"/>
              <w:spacing w:after="0"/>
              <w:rPr>
                <w:sz w:val="20"/>
                <w:szCs w:val="20"/>
                <w:color w:val="auto"/>
              </w:rPr>
            </w:pPr>
            <w:r>
              <w:rPr>
                <w:rFonts w:ascii="Arial" w:cs="Arial" w:eastAsia="Arial" w:hAnsi="Arial"/>
                <w:sz w:val="16"/>
                <w:szCs w:val="16"/>
                <w:color w:val="auto"/>
              </w:rPr>
              <w:t>Daniel Ninivaggi</w:t>
            </w:r>
          </w:p>
        </w:tc>
        <w:tc>
          <w:tcPr>
            <w:tcW w:w="3080" w:type="dxa"/>
            <w:vAlign w:val="bottom"/>
          </w:tcPr>
          <w:p>
            <w:pPr>
              <w:ind w:left="20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359"/>
        </w:trPr>
        <w:tc>
          <w:tcPr>
            <w:tcW w:w="3560" w:type="dxa"/>
            <w:vAlign w:val="bottom"/>
          </w:tcPr>
          <w:p>
            <w:pPr>
              <w:jc w:val="center"/>
              <w:spacing w:after="0"/>
              <w:rPr>
                <w:sz w:val="20"/>
                <w:szCs w:val="20"/>
                <w:color w:val="auto"/>
              </w:rPr>
            </w:pPr>
            <w:r>
              <w:rPr>
                <w:rFonts w:ascii="Arial" w:cs="Arial" w:eastAsia="Arial" w:hAnsi="Arial"/>
                <w:sz w:val="16"/>
                <w:szCs w:val="16"/>
                <w:color w:val="auto"/>
              </w:rPr>
              <w:t>/s/ Adam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06"/>
        </w:trPr>
        <w:tc>
          <w:tcPr>
            <w:tcW w:w="3560" w:type="dxa"/>
            <w:vAlign w:val="bottom"/>
            <w:tcBorders>
              <w:bottom w:val="single" w:sz="8" w:color="auto"/>
            </w:tcBorders>
          </w:tcPr>
          <w:p>
            <w:pPr>
              <w:spacing w:after="0"/>
              <w:rPr>
                <w:sz w:val="9"/>
                <w:szCs w:val="9"/>
                <w:color w:val="auto"/>
              </w:rPr>
            </w:pP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(Principal Financial Officer and Principal</w:t>
            </w:r>
          </w:p>
        </w:tc>
        <w:tc>
          <w:tcPr>
            <w:tcW w:w="0" w:type="dxa"/>
            <w:vAlign w:val="bottom"/>
          </w:tcPr>
          <w:p>
            <w:pPr>
              <w:spacing w:after="0"/>
              <w:rPr>
                <w:sz w:val="1"/>
                <w:szCs w:val="1"/>
                <w:color w:val="auto"/>
              </w:rPr>
            </w:pPr>
          </w:p>
        </w:tc>
      </w:tr>
      <w:tr>
        <w:trPr>
          <w:trHeight w:val="63"/>
        </w:trPr>
        <w:tc>
          <w:tcPr>
            <w:tcW w:w="35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560" w:type="dxa"/>
            <w:vAlign w:val="bottom"/>
          </w:tcPr>
          <w:p>
            <w:pPr>
              <w:jc w:val="center"/>
              <w:spacing w:after="0"/>
              <w:rPr>
                <w:sz w:val="20"/>
                <w:szCs w:val="20"/>
                <w:color w:val="auto"/>
              </w:rPr>
            </w:pPr>
            <w:r>
              <w:rPr>
                <w:rFonts w:ascii="Arial" w:cs="Arial" w:eastAsia="Arial" w:hAnsi="Arial"/>
                <w:sz w:val="16"/>
                <w:szCs w:val="16"/>
                <w:color w:val="auto"/>
              </w:rPr>
              <w:t>Adam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Accounting Officer)</w:t>
            </w: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David T. Hamamoto</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1"/>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David T. Hamamoto</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Keith Feldman</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Keith Feldman</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Jane Reiss</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Jane Reiss</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Dale Spencer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Dale Spencer</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Michael Gates</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1"/>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Michael Gates</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Angela Strand</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Angela Strand</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Martin J. Rucidlo</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1"/>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Martin J. Rucidlo</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Date</w:t>
      </w:r>
    </w:p>
    <w:p>
      <w:pPr>
        <w:spacing w:after="0" w:line="200" w:lineRule="exact"/>
        <w:rPr>
          <w:sz w:val="20"/>
          <w:szCs w:val="20"/>
          <w:color w:val="auto"/>
        </w:rPr>
      </w:pPr>
    </w:p>
    <w:p>
      <w:pPr>
        <w:spacing w:after="0" w:line="298" w:lineRule="exact"/>
        <w:rPr>
          <w:sz w:val="20"/>
          <w:szCs w:val="20"/>
          <w:color w:val="auto"/>
        </w:rPr>
      </w:pPr>
    </w:p>
    <w:p>
      <w:pPr>
        <w:ind w:left="160" w:right="219"/>
        <w:spacing w:after="0" w:line="630" w:lineRule="auto"/>
        <w:rPr>
          <w:sz w:val="20"/>
          <w:szCs w:val="20"/>
          <w:color w:val="auto"/>
        </w:rPr>
      </w:pPr>
      <w:r>
        <w:rPr>
          <w:rFonts w:ascii="Arial" w:cs="Arial" w:eastAsia="Arial" w:hAnsi="Arial"/>
          <w:sz w:val="16"/>
          <w:szCs w:val="16"/>
          <w:color w:val="auto"/>
        </w:rPr>
        <w:t>February 28, 2022 February 28, 2022</w:t>
      </w:r>
    </w:p>
    <w:p>
      <w:pPr>
        <w:spacing w:after="0" w:line="357"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507" w:lineRule="exact"/>
        <w:rPr>
          <w:sz w:val="20"/>
          <w:szCs w:val="20"/>
          <w:color w:val="auto"/>
        </w:rPr>
      </w:pPr>
    </w:p>
    <w:p>
      <w:pPr>
        <w:sectPr>
          <w:pgSz w:w="11900" w:h="16838" w:orient="portrait"/>
          <w:cols w:equalWidth="0" w:num="2">
            <w:col w:w="6700" w:space="620"/>
            <w:col w:w="169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53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9"/>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bullet"/>
      <w:start w:val="1"/>
    </w:lvl>
  </w:abstractNum>
  <w:abstractNum w:abstractNumId="21">
    <w:nsid w:val="1E7FF521"/>
    <w:multiLevelType w:val="hybridMultilevel"/>
    <w:lvl w:ilvl="0">
      <w:lvlJc w:val="left"/>
      <w:lvlText w:val="1"/>
      <w:numFmt w:val="bullet"/>
      <w:start w:val="1"/>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1"/>
      <w:numFmt w:val="bullet"/>
      <w:start w:val="1"/>
    </w:lvl>
  </w:abstractNum>
  <w:abstractNum w:abstractNumId="24">
    <w:nsid w:val="6CEAF087"/>
    <w:multiLevelType w:val="hybridMultilevel"/>
    <w:lvl w:ilvl="0">
      <w:lvlJc w:val="left"/>
      <w:lvlText w:val="1"/>
      <w:numFmt w:val="bullet"/>
      <w:start w:val="1"/>
    </w:lvl>
  </w:abstractNum>
  <w:abstractNum w:abstractNumId="25">
    <w:nsid w:val="22221A70"/>
    <w:multiLevelType w:val="hybridMultilevel"/>
    <w:lvl w:ilvl="0">
      <w:lvlJc w:val="left"/>
      <w:lvlText w:val="1"/>
      <w:numFmt w:val="bullet"/>
      <w:start w:val="1"/>
    </w:lvl>
  </w:abstractNum>
  <w:abstractNum w:abstractNumId="26">
    <w:nsid w:val="4516DDE9"/>
    <w:multiLevelType w:val="hybridMultilevel"/>
    <w:lvl w:ilvl="0">
      <w:lvlJc w:val="left"/>
      <w:lvlText w:val="1"/>
      <w:numFmt w:val="bullet"/>
      <w:start w:val="1"/>
    </w:lvl>
  </w:abstractNum>
  <w:abstractNum w:abstractNumId="27">
    <w:nsid w:val="3006C83E"/>
    <w:multiLevelType w:val="hybridMultilevel"/>
    <w:lvl w:ilvl="0">
      <w:lvlJc w:val="left"/>
      <w:lvlText w:val="(%1)"/>
      <w:numFmt w:val="upperLetter"/>
      <w:start w:val="1"/>
    </w:lvl>
  </w:abstractNum>
  <w:abstractNum w:abstractNumId="28">
    <w:nsid w:val="614FD4A1"/>
    <w:multiLevelType w:val="hybridMultilevel"/>
    <w:lvl w:ilvl="0">
      <w:lvlJc w:val="left"/>
      <w:lvlText w:val="%1"/>
      <w:numFmt w:val="upperLetter"/>
      <w:start w:val="68"/>
    </w:lvl>
  </w:abstractNum>
  <w:abstractNum w:abstractNumId="29">
    <w:nsid w:val="419AC241"/>
    <w:multiLevelType w:val="hybridMultilevel"/>
    <w:lvl w:ilvl="0">
      <w:lvlJc w:val="left"/>
      <w:lvlText w:val="(%1)"/>
      <w:numFmt w:val="lowerRoman"/>
      <w:start w:val="3"/>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Letter"/>
      <w:start w:val="1"/>
    </w:lvl>
    <w:lvl w:ilvl="1">
      <w:lvlJc w:val="left"/>
      <w:lvlText w:val="(%2)"/>
      <w:numFmt w:val="decimal"/>
      <w:start w:val="1"/>
    </w:lvl>
  </w:abstractNum>
  <w:abstractNum w:abstractNumId="36">
    <w:nsid w:val="5C482A97"/>
    <w:multiLevelType w:val="hybridMultilevel"/>
    <w:lvl w:ilvl="0">
      <w:lvlJc w:val="left"/>
      <w:lvlText w:val="(%1)"/>
      <w:numFmt w:val="decimal"/>
      <w:start w:val="2"/>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11" Type="http://schemas.openxmlformats.org/officeDocument/2006/relationships/hyperlink" Target="https://www.sec.gov/Archives/edgar/data/1759546/000121390020019762/ea124863ex2-1_diamondpeak.htm" TargetMode="External"/><Relationship Id="rId112" Type="http://schemas.openxmlformats.org/officeDocument/2006/relationships/hyperlink" Target="https://www.sec.gov/Archives/edgar/data/1759546/000110465920119279/tm2034197d1_ex3-1.htm" TargetMode="External"/><Relationship Id="rId113" Type="http://schemas.openxmlformats.org/officeDocument/2006/relationships/hyperlink" Target="https://www.sec.gov/Archives/edgar/data/1759546/000110465920119279/tm2034197d1_ex3-2.htm" TargetMode="External"/><Relationship Id="rId114" Type="http://schemas.openxmlformats.org/officeDocument/2006/relationships/hyperlink" Target="https://www.sec.gov/Archives/edgar/data/1759546/000155837022002265/ride-20211231xex4d1.htm" TargetMode="External"/><Relationship Id="rId115" Type="http://schemas.openxmlformats.org/officeDocument/2006/relationships/hyperlink" Target="https://www.sec.gov/Archives/edgar/data/1759546/000121390019003554/f8k0319ex4-1_diamond.htm" TargetMode="External"/><Relationship Id="rId116" Type="http://schemas.openxmlformats.org/officeDocument/2006/relationships/hyperlink" Target="https://www.sec.gov/Archives/edgar/data/1759546/000121390020019762/ea124863ex10-1_diamondpeak.htm" TargetMode="External"/><Relationship Id="rId117" Type="http://schemas.openxmlformats.org/officeDocument/2006/relationships/hyperlink" Target="https://www.sec.gov/Archives/edgar/data/1759546/000110465920119279/tm2034197d1_ex10-2.htm" TargetMode="External"/><Relationship Id="rId118" Type="http://schemas.openxmlformats.org/officeDocument/2006/relationships/hyperlink" Target="https://www.sec.gov/Archives/edgar/data/1759546/000110465920119279/tm2034197d1_ex10-3.htm" TargetMode="External"/><Relationship Id="rId119" Type="http://schemas.openxmlformats.org/officeDocument/2006/relationships/hyperlink" Target="https://www.sec.gov/Archives/edgar/data/1759546/000110465920113421/tm2029038-7_defm14a.htm" TargetMode="External"/><Relationship Id="rId120" Type="http://schemas.openxmlformats.org/officeDocument/2006/relationships/hyperlink" Target="https://www.sec.gov/Archives/edgar/data/1759546/000155837021003449/ride-20201231xex10d5.htm" TargetMode="External"/><Relationship Id="rId121" Type="http://schemas.openxmlformats.org/officeDocument/2006/relationships/hyperlink" Target="https://www.sec.gov/Archives/edgar/data/1759546/000155837021003449/ride-20201231xex10d6.htm" TargetMode="External"/><Relationship Id="rId122" Type="http://schemas.openxmlformats.org/officeDocument/2006/relationships/hyperlink" Target="https://www.sec.gov/Archives/edgar/data/1759546/000155837021003449/ride-20201231xex10d7.htm" TargetMode="External"/><Relationship Id="rId123" Type="http://schemas.openxmlformats.org/officeDocument/2006/relationships/hyperlink" Target="https://www.sec.gov/Archives/edgar/data/1759546/000110465920119279/tm2034197d1_ex10-5.htm" TargetMode="External"/><Relationship Id="rId124" Type="http://schemas.openxmlformats.org/officeDocument/2006/relationships/hyperlink" Target="https://www.sec.gov/Archives/edgar/data/1759546/000110465920119287/tm2034197d2_ex10-11.htm" TargetMode="External"/><Relationship Id="rId125" Type="http://schemas.openxmlformats.org/officeDocument/2006/relationships/hyperlink" Target="https://www.sec.gov/Archives/edgar/data/0001759546/000110465921080500/tm2119596d1_ex10-2.htm" TargetMode="External"/><Relationship Id="rId126" Type="http://schemas.openxmlformats.org/officeDocument/2006/relationships/hyperlink" Target="https://www.sec.gov/Archives/edgar/data/0001759546/000110465921080500/tm2119596d1_ex10-3.htm" TargetMode="External"/><Relationship Id="rId127" Type="http://schemas.openxmlformats.org/officeDocument/2006/relationships/hyperlink" Target="https://www.sec.gov/Archives/edgar/data/0001759546/000110465921085206/tm2119909d2_ex10-1.htm" TargetMode="External"/><Relationship Id="rId128" Type="http://schemas.openxmlformats.org/officeDocument/2006/relationships/hyperlink" Target="https://www.sec.gov/Archives/edgar/data/1759546/000110465921085206/tm2119909d2_ex10-2.htm" TargetMode="External"/><Relationship Id="rId129" Type="http://schemas.openxmlformats.org/officeDocument/2006/relationships/hyperlink" Target="https://www.sec.gov/Archives/edgar/data/1759546/000110465921085206/tm2119909d2_ex10-3.htm" TargetMode="External"/><Relationship Id="rId130" Type="http://schemas.openxmlformats.org/officeDocument/2006/relationships/hyperlink" Target="https://www.sec.gov/Archives/edgar/data/0001759546/000110465921080500/tm2119596d1_ex10-1.htm" TargetMode="External"/><Relationship Id="rId131" Type="http://schemas.openxmlformats.org/officeDocument/2006/relationships/hyperlink" Target="https://www.sec.gov/Archives/edgar/data/1759546/000110465921109520/tm2125956d3_ex10-1.htm" TargetMode="External"/><Relationship Id="rId132" Type="http://schemas.openxmlformats.org/officeDocument/2006/relationships/hyperlink" Target="https://www.sec.gov/Archives/edgar/data/1759546/000110465921125686/tm2129885d1_ex10-1.htm" TargetMode="External"/><Relationship Id="rId133" Type="http://schemas.openxmlformats.org/officeDocument/2006/relationships/hyperlink" Target="https://www.sec.gov/Archives/edgar/data/1759546/000110465921136702/tm2132527d1_ex10-1.htm" TargetMode="External"/><Relationship Id="rId134" Type="http://schemas.openxmlformats.org/officeDocument/2006/relationships/hyperlink" Target="https://www.sec.gov/Archives/edgar/data/1759546/000155837022002265/ride-20211231xex10d23.htm" TargetMode="External"/><Relationship Id="rId135" Type="http://schemas.openxmlformats.org/officeDocument/2006/relationships/hyperlink" Target="https://www.sec.gov/Archives/edgar/data/1425287/000162828020003532/wkhs-2019x10kxex1041xi.htm" TargetMode="External"/><Relationship Id="rId136" Type="http://schemas.openxmlformats.org/officeDocument/2006/relationships/hyperlink" Target="https://www.sec.gov/Archives/edgar/data/1425287/000162828020011660/lmcworkhorseagreement2.htm" TargetMode="External"/><Relationship Id="rId137" Type="http://schemas.openxmlformats.org/officeDocument/2006/relationships/hyperlink" Target="https://www.sec.gov/Archives/edgar/data/1759546/000110465920119279/tm2034197d1_ex10-14.htm" TargetMode="External"/><Relationship Id="rId138" Type="http://schemas.openxmlformats.org/officeDocument/2006/relationships/hyperlink" Target="https://www.sec.gov/Archives/edgar/data/1759546/000110465920119279/tm2034197d1_ex10-15.htm" TargetMode="External"/><Relationship Id="rId139" Type="http://schemas.openxmlformats.org/officeDocument/2006/relationships/hyperlink" Target="https://www.sec.gov/Archives/edgar/data/1759546/000110465920119279/tm2034197d1_ex10-16.htm" TargetMode="External"/><Relationship Id="rId140" Type="http://schemas.openxmlformats.org/officeDocument/2006/relationships/hyperlink" Target="https://www.sec.gov/Archives/edgar/data/1759546/000110465920119279/tm2034197d1_ex10-17.htm" TargetMode="External"/><Relationship Id="rId141" Type="http://schemas.openxmlformats.org/officeDocument/2006/relationships/hyperlink" Target="https://www.sec.gov/Archives/edgar/data/1759546/000155837021009220/ride-20210723xex10d1.htm" TargetMode="External"/><Relationship Id="rId142" Type="http://schemas.openxmlformats.org/officeDocument/2006/relationships/hyperlink" Target="https://www.sec.gov/Archives/edgar/data/1759546/000110465921137046/tm2132527d2_ex10-1.htm" TargetMode="External"/><Relationship Id="rId143" Type="http://schemas.openxmlformats.org/officeDocument/2006/relationships/hyperlink" Target="https://www.sec.gov/Archives/edgar/data/1759546/000110465920119279/tm2034197d1_ex16-1.htm" TargetMode="External"/><Relationship Id="rId144" Type="http://schemas.openxmlformats.org/officeDocument/2006/relationships/hyperlink" Target="https://www.sec.gov/Archives/edgar/data/1759546/000155837022002265/ride-20211231xex21d1.htm" TargetMode="External"/><Relationship Id="rId145" Type="http://schemas.openxmlformats.org/officeDocument/2006/relationships/hyperlink" Target="https://www.sec.gov/Archives/edgar/data/1759546/000155837022002265/ride-20211231xex23d1.htm" TargetMode="External"/><Relationship Id="rId146" Type="http://schemas.openxmlformats.org/officeDocument/2006/relationships/hyperlink" Target="https://www.sec.gov/Archives/edgar/data/1759546/000155837022002265/ride-20211231xex23d2.htm" TargetMode="External"/><Relationship Id="rId147" Type="http://schemas.openxmlformats.org/officeDocument/2006/relationships/hyperlink" Target="https://www.sec.gov/Archives/edgar/data/1759546/000155837022002265/ride-20211231xex31d1.htm" TargetMode="External"/><Relationship Id="rId148" Type="http://schemas.openxmlformats.org/officeDocument/2006/relationships/hyperlink" Target="https://www.sec.gov/Archives/edgar/data/1759546/000155837022002265/ride-20211231xex31d2.htm" TargetMode="External"/><Relationship Id="rId149" Type="http://schemas.openxmlformats.org/officeDocument/2006/relationships/hyperlink" Target="https://www.sec.gov/Archives/edgar/data/1759546/000155837022002265/ride-20211231xex32d1.htm" TargetMode="External"/><Relationship Id="rId150" Type="http://schemas.openxmlformats.org/officeDocument/2006/relationships/hyperlink" Target="https://www.sec.gov/Archives/edgar/data/1759546/000155837022002265/ride-20211231xex3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2022-03-01T10:19:14Z</dcterms:created>
  <dcterms:modified xsi:type="dcterms:W3CDTF">2022-03-01T10:19:14Z</dcterms:modified>
</cp:coreProperties>
</file>