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August 24, 2022</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333-250045​</w:t>
      </w:r>
    </w:p>
    <w:p>
      <w:pPr>
        <w:spacing w:after="0" w:line="2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1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144780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POST-EFFECTIVE AMENDMENT NO. 4</w:t>
      </w:r>
    </w:p>
    <w:p>
      <w:pPr>
        <w:spacing w:after="0" w:line="2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FORM S-1</w:t>
      </w:r>
      <w:r>
        <w:rPr>
          <w:rFonts w:ascii="Times New Roman" w:cs="Times New Roman" w:eastAsia="Times New Roman" w:hAnsi="Times New Roman"/>
          <w:sz w:val="14"/>
          <w:szCs w:val="14"/>
          <w:b w:val="1"/>
          <w:bCs w:val="1"/>
          <w:color w:val="auto"/>
        </w:rPr>
        <w:t>​</w:t>
      </w:r>
    </w:p>
    <w:p>
      <w:pPr>
        <w:spacing w:after="0" w:line="6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ON</w:t>
      </w:r>
    </w:p>
    <w:p>
      <w:pPr>
        <w:spacing w:after="0" w:line="2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FORM S-3</w:t>
      </w:r>
      <w:r>
        <w:rPr>
          <w:rFonts w:ascii="Times New Roman" w:cs="Times New Roman" w:eastAsia="Times New Roman" w:hAnsi="Times New Roman"/>
          <w:sz w:val="14"/>
          <w:szCs w:val="14"/>
          <w:color w:val="auto"/>
        </w:rPr>
        <w:t>​</w:t>
      </w:r>
    </w:p>
    <w:p>
      <w:pPr>
        <w:spacing w:after="0" w:line="7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75565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Lordstown Motors Corp.</w:t>
      </w:r>
    </w:p>
    <w:tbl>
      <w:tblPr>
        <w:tblLayout w:type="fixed"/>
        <w:tblInd w:w="50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29"/>
        </w:trPr>
        <w:tc>
          <w:tcPr>
            <w:tcW w:w="3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00"/>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54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6770</w:t>
            </w:r>
          </w:p>
        </w:tc>
        <w:tc>
          <w:tcPr>
            <w:tcW w:w="60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1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83-2533239</w:t>
            </w:r>
          </w:p>
        </w:tc>
        <w:tc>
          <w:tcPr>
            <w:tcW w:w="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3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6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540" w:type="dxa"/>
            <w:vAlign w:val="bottom"/>
          </w:tcPr>
          <w:p>
            <w:pPr>
              <w:spacing w:after="0"/>
              <w:rPr>
                <w:sz w:val="14"/>
                <w:szCs w:val="14"/>
                <w:color w:val="auto"/>
              </w:rPr>
            </w:pPr>
          </w:p>
        </w:tc>
      </w:tr>
      <w:tr>
        <w:trPr>
          <w:trHeight w:val="188"/>
        </w:trPr>
        <w:tc>
          <w:tcPr>
            <w:tcW w:w="3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Classification Code No.)</w:t>
            </w:r>
          </w:p>
        </w:tc>
        <w:tc>
          <w:tcPr>
            <w:tcW w:w="660" w:type="dxa"/>
            <w:vAlign w:val="bottom"/>
          </w:tcPr>
          <w:p>
            <w:pPr>
              <w:spacing w:after="0"/>
              <w:rPr>
                <w:sz w:val="16"/>
                <w:szCs w:val="16"/>
                <w:color w:val="auto"/>
              </w:rPr>
            </w:pPr>
          </w:p>
        </w:tc>
        <w:tc>
          <w:tcPr>
            <w:tcW w:w="2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Identification No.)</w:t>
            </w:r>
          </w:p>
        </w:tc>
        <w:tc>
          <w:tcPr>
            <w:tcW w:w="540" w:type="dxa"/>
            <w:vAlign w:val="bottom"/>
          </w:tcPr>
          <w:p>
            <w:pPr>
              <w:spacing w:after="0"/>
              <w:rPr>
                <w:sz w:val="16"/>
                <w:szCs w:val="16"/>
                <w:color w:val="auto"/>
              </w:rPr>
            </w:pPr>
          </w:p>
        </w:tc>
      </w:tr>
    </w:tbl>
    <w:p>
      <w:pPr>
        <w:spacing w:after="0" w:line="1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2300 Hallock Young Road</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Lordstown, Ohio 44481</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(234) 285-4001</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6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Melissa A. Leonard</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Lordstown Motors Corp.</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2300 Hallock Young Road</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Lordstown, Ohio 44481</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(234) 285-4001</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5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p>
      <w:pPr>
        <w:spacing w:after="0" w:line="6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Janet A. Spreen, Esq.</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Baker &amp; Hostetler LLP</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127 Public Square, Suite 2000</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Cleveland, Ohio 44114</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Tel: (216) 621-0200</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Fax: (216) 696-0740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30480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34" w:lineRule="exact"/>
        <w:rPr>
          <w:sz w:val="24"/>
          <w:szCs w:val="24"/>
          <w:color w:val="auto"/>
        </w:rPr>
      </w:pPr>
    </w:p>
    <w:p>
      <w:pPr>
        <w:ind w:left="8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0" w:lineRule="exact"/>
        <w:rPr>
          <w:sz w:val="24"/>
          <w:szCs w:val="24"/>
          <w:color w:val="auto"/>
        </w:rPr>
      </w:pPr>
    </w:p>
    <w:p>
      <w:pPr>
        <w:ind w:left="500" w:right="120" w:firstLine="360"/>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500" w:right="260" w:firstLine="36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left="500" w:right="680" w:firstLine="36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left="500" w:right="160" w:firstLine="36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500" w:right="580" w:firstLine="36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31" w:lineRule="exact"/>
        <w:rPr>
          <w:sz w:val="24"/>
          <w:szCs w:val="24"/>
          <w:color w:val="auto"/>
        </w:rPr>
      </w:pPr>
    </w:p>
    <w:p>
      <w:pPr>
        <w:ind w:left="500" w:right="380" w:firstLine="360"/>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860" w:type="dxa"/>
        <w:tblCellMar>
          <w:top w:w="0" w:type="dxa"/>
          <w:left w:w="0" w:type="dxa"/>
          <w:bottom w:w="0" w:type="dxa"/>
          <w:right w:w="0" w:type="dxa"/>
        </w:tblCellMar>
      </w:tblPr>
      <w:tr>
        <w:trPr>
          <w:trHeight w:val="172"/>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82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Accelerated filer</w:t>
            </w:r>
          </w:p>
        </w:tc>
        <w:tc>
          <w:tcPr>
            <w:tcW w:w="9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ind w:left="7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4"/>
        </w:trPr>
        <w:tc>
          <w:tcPr>
            <w:tcW w:w="15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820" w:type="dxa"/>
            <w:vAlign w:val="bottom"/>
          </w:tcPr>
          <w:p>
            <w:pPr>
              <w:ind w:left="17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ind w:left="7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1"/>
        </w:trPr>
        <w:tc>
          <w:tcPr>
            <w:tcW w:w="154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Non-accelerated filer</w:t>
            </w:r>
          </w:p>
        </w:tc>
        <w:tc>
          <w:tcPr>
            <w:tcW w:w="2060" w:type="dxa"/>
            <w:vAlign w:val="bottom"/>
            <w:vMerge w:val="continue"/>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Emerging growth company</w:t>
            </w:r>
          </w:p>
        </w:tc>
        <w:tc>
          <w:tcPr>
            <w:tcW w:w="9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ind w:left="7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500" w:right="220" w:firstLine="360"/>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9" w:lineRule="exact"/>
        <w:rPr>
          <w:sz w:val="24"/>
          <w:szCs w:val="24"/>
          <w:color w:val="auto"/>
        </w:rPr>
      </w:pPr>
    </w:p>
    <w:p>
      <w:pPr>
        <w:ind w:left="500" w:right="180" w:firstLine="360"/>
        <w:spacing w:after="0" w:line="288"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40640</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Lordstown Motors Corp., a Delaware corporation, filed a Registration Statement on Form S-1 on November 12, 2020, which was declared effective on December 4, 2020, and which was amended by Post-Effective Amendment No. 1 to the Registration Statement on Form S-1, filed on June 10, 2021, Post-Effective Amendment No. 2 to the Registration Statement on Form S-1, filed on July 15, 2021, and Post-Effective Amendment No. 3 to the Registration Statement on Form S-1, filed on March 21, 2022 (as amended and supplemented,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This Post-Effective Amendment No. 4 to Form S-1 on Form S-3 (the “</w:t>
      </w:r>
      <w:r>
        <w:rPr>
          <w:rFonts w:ascii="Times New Roman" w:cs="Times New Roman" w:eastAsia="Times New Roman" w:hAnsi="Times New Roman"/>
          <w:sz w:val="18"/>
          <w:szCs w:val="18"/>
          <w:i w:val="1"/>
          <w:iCs w:val="1"/>
          <w:color w:val="auto"/>
        </w:rPr>
        <w:t>Post-Effective Amendment</w:t>
      </w:r>
      <w:r>
        <w:rPr>
          <w:rFonts w:ascii="Times New Roman" w:cs="Times New Roman" w:eastAsia="Times New Roman" w:hAnsi="Times New Roman"/>
          <w:sz w:val="18"/>
          <w:szCs w:val="18"/>
          <w:color w:val="auto"/>
        </w:rPr>
        <w:t>”) is being filed in order to convert the Registration Statement into a registration statement on Form S-3 and to make certain other updates, including updated information regarding certain selling securityholders and a reduction in the number of shares of Class A common stock being offered by the selling securityholders to 60,700,926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6534150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880" w:type="dxa"/>
        <w:tblCellMar>
          <w:top w:w="0" w:type="dxa"/>
          <w:left w:w="0" w:type="dxa"/>
          <w:bottom w:w="0" w:type="dxa"/>
          <w:right w:w="0" w:type="dxa"/>
        </w:tblCellMar>
      </w:tblPr>
      <w:tr>
        <w:trPr>
          <w:trHeight w:val="185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 filed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 in any</w:t>
            </w:r>
          </w:p>
        </w:tc>
        <w:tc>
          <w:tcPr>
            <w:tcW w:w="160" w:type="dxa"/>
            <w:vAlign w:val="bottom"/>
          </w:tcPr>
          <w:p>
            <w:pPr>
              <w:spacing w:after="0"/>
              <w:rPr>
                <w:sz w:val="24"/>
                <w:szCs w:val="24"/>
                <w:color w:val="auto"/>
              </w:rPr>
            </w:pPr>
          </w:p>
        </w:tc>
      </w:tr>
      <w:tr>
        <w:trPr>
          <w:trHeight w:val="33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securityholders may sell these securities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and is not soliciting an offer to</w:t>
            </w:r>
          </w:p>
        </w:tc>
        <w:tc>
          <w:tcPr>
            <w:tcW w:w="160" w:type="dxa"/>
            <w:vAlign w:val="bottom"/>
          </w:tcPr>
          <w:p>
            <w:pPr>
              <w:spacing w:after="0"/>
              <w:rPr>
                <w:sz w:val="24"/>
                <w:szCs w:val="24"/>
                <w:color w:val="auto"/>
              </w:rPr>
            </w:pPr>
          </w:p>
        </w:tc>
      </w:tr>
      <w:tr>
        <w:trPr>
          <w:trHeight w:val="101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nor the selling</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sell</w:t>
            </w:r>
          </w:p>
        </w:tc>
        <w:tc>
          <w:tcPr>
            <w:tcW w:w="160" w:type="dxa"/>
            <w:vAlign w:val="bottom"/>
          </w:tcPr>
          <w:p>
            <w:pPr>
              <w:spacing w:after="0"/>
              <w:rPr>
                <w:sz w:val="24"/>
                <w:szCs w:val="24"/>
                <w:color w:val="auto"/>
              </w:rPr>
            </w:pPr>
          </w:p>
        </w:tc>
      </w:tr>
      <w:tr>
        <w:trPr>
          <w:trHeight w:val="414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complete and may be changed. Neither we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permitted.</w:t>
            </w:r>
          </w:p>
        </w:tc>
      </w:tr>
      <w:tr>
        <w:trPr>
          <w:trHeight w:val="233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with the 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FC0014"/>
        </w:rPr>
        <w:t>SUBJECT TO COMPLETION, DATED AUGUST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131445</wp:posOffset>
            </wp:positionV>
            <wp:extent cx="246888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Lordstown Motors Corp.</w:t>
      </w:r>
    </w:p>
    <w:p>
      <w:pPr>
        <w:spacing w:after="0" w:line="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5"/>
          <w:szCs w:val="25"/>
          <w:b w:val="1"/>
          <w:bCs w:val="1"/>
          <w:color w:val="auto"/>
        </w:rPr>
        <w:t>Up to 60,700,926 Shares of Class A Common Stock</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4"/>
          <w:szCs w:val="24"/>
          <w:b w:val="1"/>
          <w:bCs w:val="1"/>
          <w:color w:val="auto"/>
        </w:rPr>
        <w:t>Up to 2,276,464 Shares of Class A Common Stock Issuable Upon Exercise of</w:t>
      </w:r>
    </w:p>
    <w:p>
      <w:pPr>
        <w:jc w:val="center"/>
        <w:ind w:right="139"/>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Up to 2,276,464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139700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5" w:lineRule="exact"/>
        <w:rPr>
          <w:sz w:val="20"/>
          <w:szCs w:val="20"/>
          <w:color w:val="auto"/>
        </w:rPr>
      </w:pPr>
    </w:p>
    <w:p>
      <w:pPr>
        <w:ind w:right="159" w:firstLine="360"/>
        <w:spacing w:after="0" w:line="235" w:lineRule="auto"/>
        <w:rPr>
          <w:sz w:val="20"/>
          <w:szCs w:val="20"/>
          <w:color w:val="auto"/>
        </w:rPr>
      </w:pPr>
      <w:r>
        <w:rPr>
          <w:rFonts w:ascii="Times New Roman" w:cs="Times New Roman" w:eastAsia="Times New Roman" w:hAnsi="Times New Roman"/>
          <w:sz w:val="18"/>
          <w:szCs w:val="18"/>
          <w:color w:val="auto"/>
        </w:rPr>
        <w:t>This prospectus relates to the issuance by us of up to an aggregate of up to 2,276,464 of our Class A common stock, $0.0001 par value per share (“Class A common stock”), that are issuable upon the exercise of 2,276,464 (the “Private Placement Warrants”) originally issued in a private placement in connection with the initial public offering of DiamondPeak Holdings Corp. (“DiamondPeak”). We will receive the proceeds from any exercise of any Private Placement Warrants for cash.</w:t>
      </w:r>
    </w:p>
    <w:p>
      <w:pPr>
        <w:spacing w:after="0" w:line="121" w:lineRule="exact"/>
        <w:rPr>
          <w:sz w:val="20"/>
          <w:szCs w:val="20"/>
          <w:color w:val="auto"/>
        </w:rPr>
      </w:pPr>
    </w:p>
    <w:p>
      <w:pPr>
        <w:ind w:right="119" w:firstLine="360"/>
        <w:spacing w:after="0" w:line="233"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“Selling Securityholders”) of (i) up to 60,700,926 shares of Class A common stock (including up to 2,276,464 shares of Class A common stock that may be issued upon exercise of the Private Placement Warrants and up to 1,649,489 shares of Class A common stock that may be issued upon exercise of BGL Warrants (as defined below)) and (ii) up to 2,276,464 Private Placement Warrants. We will not receive any proceeds from the sale of any shares of Class A common stock or Private Placement Warrants by the Selling Securityholders pursuant to this prospectus.</w:t>
      </w:r>
    </w:p>
    <w:p>
      <w:pPr>
        <w:spacing w:after="0" w:line="119" w:lineRule="exact"/>
        <w:rPr>
          <w:sz w:val="20"/>
          <w:szCs w:val="20"/>
          <w:color w:val="auto"/>
        </w:rPr>
      </w:pPr>
    </w:p>
    <w:p>
      <w:pPr>
        <w:ind w:right="179" w:firstLine="360"/>
        <w:spacing w:after="0"/>
        <w:rPr>
          <w:sz w:val="20"/>
          <w:szCs w:val="20"/>
          <w:color w:val="auto"/>
        </w:rPr>
      </w:pPr>
      <w:r>
        <w:rPr>
          <w:rFonts w:ascii="Times New Roman" w:cs="Times New Roman" w:eastAsia="Times New Roman" w:hAnsi="Times New Roman"/>
          <w:sz w:val="18"/>
          <w:szCs w:val="18"/>
          <w:color w:val="auto"/>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securities. The Selling Securityholders may sell the shares of Class A common stock and Private Placement Warrants covered by this prospectus in a number of different ways and at varying prices. We provide more information about how the Selling Securityholders may sell the securities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right="119" w:firstLine="360"/>
        <w:spacing w:after="0" w:line="24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“RIDE.” On August 23, 2022, the last reported sale price of our Class A common stock on the Nasdaq Global Select Market was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128270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2" w:lineRule="exact"/>
        <w:rPr>
          <w:sz w:val="20"/>
          <w:szCs w:val="20"/>
          <w:color w:val="auto"/>
        </w:rPr>
      </w:pPr>
    </w:p>
    <w:p>
      <w:pPr>
        <w:jc w:val="both"/>
        <w:ind w:right="19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Investing in these securities involves risks. Please carefully read the information under the headings “Risk Factors” beginning on page </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this prospectus and in our most recent reports on Form 10-K and Form 10-Q that are incorporated by reference in this prospectus before you invest in our securities.</w:t>
      </w:r>
    </w:p>
    <w:p>
      <w:pPr>
        <w:spacing w:after="0" w:line="95" w:lineRule="exact"/>
        <w:rPr>
          <w:sz w:val="20"/>
          <w:szCs w:val="20"/>
          <w:color w:val="auto"/>
        </w:rPr>
      </w:pPr>
    </w:p>
    <w:p>
      <w:pPr>
        <w:ind w:right="13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128905</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31" w:lineRule="exact"/>
        <w:rPr>
          <w:sz w:val="20"/>
          <w:szCs w:val="20"/>
          <w:color w:val="auto"/>
        </w:rPr>
      </w:pPr>
    </w:p>
    <w:p>
      <w:pPr>
        <w:sectPr>
          <w:pgSz w:w="11900" w:h="16838" w:orient="portrait"/>
          <w:cols w:equalWidth="0" w:num="2">
            <w:col w:w="1360" w:space="220"/>
            <w:col w:w="8299"/>
          </w:cols>
          <w:pgMar w:left="580" w:top="97" w:right="1440" w:bottom="1440" w:gutter="0" w:footer="0" w:header="0"/>
          <w:type w:val="continuous"/>
        </w:sectPr>
      </w:pPr>
    </w:p>
    <w:p>
      <w:pPr>
        <w:ind w:left="3940"/>
        <w:spacing w:after="0"/>
        <w:rPr>
          <w:sz w:val="20"/>
          <w:szCs w:val="20"/>
          <w:color w:val="auto"/>
        </w:rPr>
      </w:pPr>
      <w:r>
        <w:rPr>
          <w:rFonts w:ascii="Times New Roman" w:cs="Times New Roman" w:eastAsia="Times New Roman" w:hAnsi="Times New Roman"/>
          <w:sz w:val="16"/>
          <w:szCs w:val="16"/>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UNITED STATES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639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the exercise of the Private Placement Warrants. We will receive proceeds from any exercise of the Private Placement Warrants or the warrants issued to Brown Gibbons Lang &amp; Company (the “BGL Warrants”) for cash.</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Securityholders will make an offer to sell these securities in any jurisdiction where the offer or sale is not permitted.</w:t>
      </w:r>
    </w:p>
    <w:p>
      <w:pPr>
        <w:spacing w:after="0" w:line="106"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Refer to</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October 23, 2020 (the “Closing Date”), DiamondPeak Holdings Corp., our predecessor company (“DiamondPeak”), consummated the previously announced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21"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“Lordstown,” “we,” “us,” “our” and similar terms refer to Lordstown Motors Corp. (f/k/a DiamondPeak Holdings Corp.) and its consolidated subsidiaries (including Legacy Lordstown). References to “DiamondPeak” refer to our predecessor company prior to the consummation of the Business Combination.</w:t>
      </w:r>
    </w:p>
    <w:p>
      <w:pPr>
        <w:spacing w:after="0" w:line="9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our registered and unregistered trademarks and service marks, as well as trademarks and service marks of third parties. Solely for convenience, these trademarks and service marks are referenced without the ®, ™ or similar symbols, but such references are not intended to indicate, in any way, that we will not assert, to the fullest extent under applicable law, our rights to these trademarks and service marks. All brand names, trademarks and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Lordstown is an electric vehicle (“EV”) innovator developing high-quality light duty commercial fleet vehicles, with the Endurance all electric pick-up truck as our first vehicle being launched in the Lordstown, Ohio facility.</w:t>
      </w:r>
    </w:p>
    <w:p>
      <w:pPr>
        <w:spacing w:after="0" w:line="95"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As described in more detail in the documents incorporated by reference herein, we recently completed the sale of the Lordstown, Ohio manufacturing facility to Foxconn EV Technology, Inc., an Ohio corporation, and an affiliate of Hon Hai Technology Group (“HHTG”; either HHTG or applicable affiliates of HHTG are referred to herein as “Foxconn”) and entered into a manufacturing supply agreement pursuant to which Foxconn will manufacture the Endurance at the facility and perform related services. We have also recently established a joint venture with Foxconn to jointly design, develop, test and industrialize all-electric commercial vehicles with Foxconn using its Mobility-in-Harmony (“MIH”) platform, which would also be built at the Lordstown, Ohio plant and potentially licensed for production elsewhere in the world.</w:t>
      </w:r>
    </w:p>
    <w:p>
      <w:pPr>
        <w:spacing w:after="0" w:line="124" w:lineRule="exact"/>
        <w:rPr>
          <w:sz w:val="20"/>
          <w:szCs w:val="20"/>
          <w:color w:val="auto"/>
        </w:rPr>
      </w:pPr>
    </w:p>
    <w:p>
      <w:pPr>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We continue to explore all financing alternatives as our operations are anticipated to require significant capital investment for the foreseeable future. We are also seeking strategic partners, including other automakers, to provide additional capital/or and other support to enable us to scale the Endurance program and to develop new vehicle programs through the joint venture with Foxconn. As we seek additional sources of financing, there can be no assurance that such financing would be available to us on favorable terms or at all.</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19" w:firstLine="360"/>
        <w:spacing w:after="0" w:line="254" w:lineRule="auto"/>
        <w:rPr>
          <w:sz w:val="20"/>
          <w:szCs w:val="20"/>
          <w:color w:val="auto"/>
        </w:rPr>
      </w:pPr>
      <w:r>
        <w:rPr>
          <w:rFonts w:ascii="Times New Roman" w:cs="Times New Roman" w:eastAsia="Times New Roman" w:hAnsi="Times New Roman"/>
          <w:sz w:val="18"/>
          <w:szCs w:val="18"/>
          <w:color w:val="auto"/>
        </w:rPr>
        <w:t>Lordstown Motors Corp., originally known as DiamondPeak Holdings Corp., was incorporated in Delaware on November 13, 2018 as a blank check company for the purpose of effecting a business combination and completed its initial public offering in March 2019. As described above, the Business Combination was completed on October 23, 2020. The mailing address of our principal executive office is 2300 Hallock Young Road, Lordstown, Ohio 44481. Our telephone number is (234) 285-4001. Our website address is www.lordstownmotors.com. Our Class A common stock is listed on the NASDAQ Global Select Market under the symbol “RIDE.” Information contained on our website or connected thereto does not constitute part of, and is not incorporated by reference into,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7" w:lineRule="exact"/>
        <w:rPr>
          <w:sz w:val="20"/>
          <w:szCs w:val="20"/>
          <w:color w:val="auto"/>
        </w:rPr>
      </w:pPr>
    </w:p>
    <w:p>
      <w:pPr>
        <w:ind w:left="1280"/>
        <w:spacing w:after="0"/>
        <w:tabs>
          <w:tab w:leader="none" w:pos="514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Lordstown Motors Corp. (f/k/a DiamondPeak Holdings</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Corp.).</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pacing w:after="0" w:line="1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Shares of Class A Common Stock Offered by</w:t>
      </w:r>
    </w:p>
    <w:p>
      <w:pPr>
        <w:spacing w:after="0" w:line="27" w:lineRule="exact"/>
        <w:rPr>
          <w:sz w:val="20"/>
          <w:szCs w:val="20"/>
          <w:color w:val="auto"/>
        </w:rPr>
      </w:pPr>
    </w:p>
    <w:p>
      <w:pPr>
        <w:ind w:left="1460"/>
        <w:spacing w:after="0"/>
        <w:tabs>
          <w:tab w:leader="none" w:pos="514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2,276,464 shares of Class A common stock, issuable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upon the exercise of Private Placement Warrants.</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Shares of Class A Common Stock</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Outstanding Prior to Exercise of All</w:t>
      </w:r>
    </w:p>
    <w:p>
      <w:pPr>
        <w:spacing w:after="0" w:line="9" w:lineRule="exact"/>
        <w:rPr>
          <w:sz w:val="20"/>
          <w:szCs w:val="20"/>
          <w:color w:val="auto"/>
        </w:rPr>
      </w:pPr>
    </w:p>
    <w:p>
      <w:pPr>
        <w:ind w:left="1460"/>
        <w:spacing w:after="0"/>
        <w:tabs>
          <w:tab w:leader="none" w:pos="5140" w:val="left"/>
        </w:tabs>
        <w:rPr>
          <w:sz w:val="20"/>
          <w:szCs w:val="20"/>
          <w:color w:val="auto"/>
        </w:rPr>
      </w:pPr>
      <w:r>
        <w:rPr>
          <w:rFonts w:ascii="Times New Roman" w:cs="Times New Roman" w:eastAsia="Times New Roman" w:hAnsi="Times New Roman"/>
          <w:sz w:val="18"/>
          <w:szCs w:val="18"/>
          <w:color w:val="auto"/>
        </w:rPr>
        <w:t>Warrants</w:t>
      </w:r>
      <w:r>
        <w:rPr>
          <w:sz w:val="20"/>
          <w:szCs w:val="20"/>
          <w:color w:val="auto"/>
        </w:rPr>
        <w:tab/>
      </w:r>
      <w:r>
        <w:rPr>
          <w:rFonts w:ascii="Times New Roman" w:cs="Times New Roman" w:eastAsia="Times New Roman" w:hAnsi="Times New Roman"/>
          <w:sz w:val="18"/>
          <w:szCs w:val="18"/>
          <w:color w:val="auto"/>
        </w:rPr>
        <w:t>205,871,561 shares (as of August 1, 2022).</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Shares of Class A Common Stock</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Outstanding Assuming Exercise of All</w:t>
      </w:r>
    </w:p>
    <w:p>
      <w:pPr>
        <w:spacing w:after="0" w:line="9" w:lineRule="exact"/>
        <w:rPr>
          <w:sz w:val="20"/>
          <w:szCs w:val="20"/>
          <w:color w:val="auto"/>
        </w:rPr>
      </w:pPr>
    </w:p>
    <w:p>
      <w:pPr>
        <w:jc w:val="both"/>
        <w:ind w:left="1460"/>
        <w:spacing w:after="0"/>
        <w:tabs>
          <w:tab w:leader="none" w:pos="5140" w:val="left"/>
        </w:tabs>
        <w:rPr>
          <w:sz w:val="20"/>
          <w:szCs w:val="20"/>
          <w:color w:val="auto"/>
        </w:rPr>
      </w:pPr>
      <w:r>
        <w:rPr>
          <w:rFonts w:ascii="Times New Roman" w:cs="Times New Roman" w:eastAsia="Times New Roman" w:hAnsi="Times New Roman"/>
          <w:sz w:val="18"/>
          <w:szCs w:val="18"/>
          <w:color w:val="auto"/>
        </w:rPr>
        <w:t>Warrants</w:t>
      </w:r>
      <w:r>
        <w:rPr>
          <w:sz w:val="20"/>
          <w:szCs w:val="20"/>
          <w:color w:val="auto"/>
        </w:rPr>
        <w:tab/>
      </w:r>
      <w:r>
        <w:rPr>
          <w:rFonts w:ascii="Times New Roman" w:cs="Times New Roman" w:eastAsia="Times New Roman" w:hAnsi="Times New Roman"/>
          <w:sz w:val="18"/>
          <w:szCs w:val="18"/>
          <w:color w:val="auto"/>
        </w:rPr>
        <w:t>209,797,514 shares (based on total shares outstanding as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of August 1, 2022).</w:t>
      </w:r>
    </w:p>
    <w:p>
      <w:pPr>
        <w:sectPr>
          <w:pgSz w:w="11900" w:h="16838" w:orient="portrait"/>
          <w:cols w:equalWidth="0" w:num="1">
            <w:col w:w="9879"/>
          </w:cols>
          <w:pgMar w:left="580" w:top="97" w:right="1440" w:bottom="1440" w:gutter="0" w:footer="0" w:header="0"/>
        </w:sectPr>
      </w:pP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Exercise Price of Warrants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60" w:right="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Resale of Class A Common Stock and Private Placement Warrants</w:t>
      </w:r>
    </w:p>
    <w:p>
      <w:pPr>
        <w:spacing w:after="0" w:line="51"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Shares of Class A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Warrants Offered by the Selling</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Securityholders</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Redemption</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345" w:lineRule="exact"/>
        <w:rPr>
          <w:sz w:val="20"/>
          <w:szCs w:val="20"/>
          <w:color w:val="auto"/>
        </w:rPr>
      </w:pPr>
    </w:p>
    <w:p>
      <w:pPr>
        <w:ind w:left="1460" w:right="5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459"/>
        <w:spacing w:after="0" w:line="261" w:lineRule="auto"/>
        <w:rPr>
          <w:sz w:val="20"/>
          <w:szCs w:val="20"/>
          <w:color w:val="auto"/>
        </w:rPr>
      </w:pPr>
      <w:r>
        <w:rPr>
          <w:rFonts w:ascii="Times New Roman" w:cs="Times New Roman" w:eastAsia="Times New Roman" w:hAnsi="Times New Roman"/>
          <w:sz w:val="18"/>
          <w:szCs w:val="18"/>
          <w:color w:val="auto"/>
        </w:rPr>
        <w:t>$11.50 per share for the Private Placement Warrants and $10.00 per share for the BGL Warrants, each subject to adjustment as described herein. See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 Warrants</w:t>
      </w:r>
      <w:r>
        <w:rPr>
          <w:rFonts w:ascii="Times New Roman" w:cs="Times New Roman" w:eastAsia="Times New Roman" w:hAnsi="Times New Roman"/>
          <w:sz w:val="18"/>
          <w:szCs w:val="18"/>
          <w:color w:val="auto"/>
        </w:rPr>
        <w:t>” for further discussion.</w:t>
      </w:r>
    </w:p>
    <w:p>
      <w:pPr>
        <w:spacing w:after="0" w:line="72" w:lineRule="exact"/>
        <w:rPr>
          <w:sz w:val="20"/>
          <w:szCs w:val="20"/>
          <w:color w:val="auto"/>
        </w:rPr>
      </w:pPr>
    </w:p>
    <w:p>
      <w:pPr>
        <w:ind w:right="499"/>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$43.1 million from the exercise of the Warrants, assuming the exercise in full of all of the Warrants for cash. We expect to use the net proceeds from the exercise of the Warrants for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39"/>
        <w:spacing w:after="0" w:line="261" w:lineRule="auto"/>
        <w:rPr>
          <w:sz w:val="20"/>
          <w:szCs w:val="20"/>
          <w:color w:val="auto"/>
        </w:rPr>
      </w:pPr>
      <w:r>
        <w:rPr>
          <w:rFonts w:ascii="Times New Roman" w:cs="Times New Roman" w:eastAsia="Times New Roman" w:hAnsi="Times New Roman"/>
          <w:sz w:val="18"/>
          <w:szCs w:val="18"/>
          <w:color w:val="auto"/>
        </w:rPr>
        <w:t>60,700,926 shares of Class A common stock (including up to 3,925,953 shares of Class A common stock that may be issued upon exercise of the Private Placement Warrants and BGL Warrants).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2,276,464 Private Placement Warrants.</w:t>
      </w:r>
    </w:p>
    <w:p>
      <w:pPr>
        <w:spacing w:after="0" w:line="117" w:lineRule="exact"/>
        <w:rPr>
          <w:sz w:val="20"/>
          <w:szCs w:val="20"/>
          <w:color w:val="auto"/>
        </w:rPr>
      </w:pPr>
    </w:p>
    <w:p>
      <w:pPr>
        <w:ind w:right="459"/>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redeemable in certain circumstances. See “</w:t>
      </w:r>
      <w:r>
        <w:rPr>
          <w:rFonts w:ascii="Times New Roman" w:cs="Times New Roman" w:eastAsia="Times New Roman" w:hAnsi="Times New Roman"/>
          <w:sz w:val="18"/>
          <w:szCs w:val="18"/>
          <w:i w:val="1"/>
          <w:iCs w:val="1"/>
          <w:color w:val="auto"/>
        </w:rPr>
        <w:t>Description of Securities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discussion.</w:t>
      </w:r>
    </w:p>
    <w:p>
      <w:pPr>
        <w:spacing w:after="0" w:line="68" w:lineRule="exact"/>
        <w:rPr>
          <w:sz w:val="20"/>
          <w:szCs w:val="20"/>
          <w:color w:val="auto"/>
        </w:rPr>
      </w:pPr>
    </w:p>
    <w:p>
      <w:pPr>
        <w:jc w:val="both"/>
        <w:ind w:right="439"/>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or Private Placement Warrants by the Selling Securityholders.</w:t>
      </w:r>
    </w:p>
    <w:p>
      <w:pPr>
        <w:spacing w:after="0" w:line="284" w:lineRule="exact"/>
        <w:rPr>
          <w:sz w:val="20"/>
          <w:szCs w:val="20"/>
          <w:color w:val="auto"/>
        </w:rPr>
      </w:pPr>
    </w:p>
    <w:p>
      <w:pPr>
        <w:ind w:right="439"/>
        <w:spacing w:after="0" w:line="258" w:lineRule="auto"/>
        <w:rPr>
          <w:sz w:val="20"/>
          <w:szCs w:val="20"/>
          <w:color w:val="auto"/>
        </w:rPr>
      </w:pPr>
      <w:r>
        <w:rPr>
          <w:rFonts w:ascii="Times New Roman" w:cs="Times New Roman" w:eastAsia="Times New Roman" w:hAnsi="Times New Roman"/>
          <w:sz w:val="18"/>
          <w:szCs w:val="18"/>
          <w:color w:val="auto"/>
        </w:rPr>
        <w:t>Our Class A common stock is currently traded on the Nasdaq Global Select Market under the symbol “RIDE.” We currently do not intend to list the Private Placement Warrants offered hereby or the BGL Warrants on any stock exchange or stock market.</w:t>
      </w:r>
    </w:p>
    <w:p>
      <w:pPr>
        <w:spacing w:after="0" w:line="73" w:lineRule="exact"/>
        <w:rPr>
          <w:sz w:val="20"/>
          <w:szCs w:val="20"/>
          <w:color w:val="auto"/>
        </w:rPr>
      </w:pPr>
    </w:p>
    <w:p>
      <w:pPr>
        <w:jc w:val="both"/>
        <w:ind w:right="67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 discussion of factors you should consider before investing in our securities.</w:t>
      </w:r>
    </w:p>
    <w:p>
      <w:pPr>
        <w:spacing w:after="0" w:line="200" w:lineRule="exact"/>
        <w:rPr>
          <w:sz w:val="20"/>
          <w:szCs w:val="20"/>
          <w:color w:val="auto"/>
        </w:rPr>
      </w:pPr>
    </w:p>
    <w:p>
      <w:pPr>
        <w:sectPr>
          <w:pgSz w:w="11900" w:h="16838" w:orient="portrait"/>
          <w:cols w:equalWidth="0" w:num="2">
            <w:col w:w="4700" w:space="460"/>
            <w:col w:w="4719"/>
          </w:cols>
          <w:pgMar w:left="580" w:top="97" w:right="1440" w:bottom="1440" w:gutter="0" w:footer="0" w:header="0"/>
          <w:type w:val="continuous"/>
        </w:sectPr>
      </w:pPr>
    </w:p>
    <w:p>
      <w:pPr>
        <w:spacing w:after="0" w:line="1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 decision to invest in our securities, you should carefully consider the risks described under the heading “Risk Factors” in any applicable prospectus supplement and any related free writing prospectus, and under “Part I, Item 1A. Risk Factors” contained in our most recent annual report on Form 10-K and in subsequent quarterly reports on Form 10-Q, as well as any amendments thereto, which are incorporated by reference into this prospectus and the applicable prospectus supplement in their entirety, together with other information in this prospectus and the applicable prospectus supplement, the documents incorporated by reference herein and therein, and any free writing prospectus that we may authorize for use in connection with a specific offering.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Additional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any prospectus supplement and any related free writing prospectus, including the information incorporated by reference herein and therein, contain or may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Accordingly, these statements involve estimates, assumptions and uncertainties which could cause actual results to differ materially from those expressed in them.</w:t>
      </w:r>
    </w:p>
    <w:p>
      <w:pPr>
        <w:spacing w:after="0" w:line="34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and under “Part I, Item 1A. Risk Factors” contained in our most recent annual report on Form 10-K, and in subsequent quarterly reports on Form 10-Q, as well as any amendments thereto, which are incorporated by reference into this prospectus and the applicable prospectus supplement in their entirety, as well as the following:</w:t>
      </w:r>
    </w:p>
    <w:p>
      <w:pPr>
        <w:spacing w:after="0" w:line="297" w:lineRule="exact"/>
        <w:rPr>
          <w:sz w:val="20"/>
          <w:szCs w:val="20"/>
          <w:color w:val="auto"/>
        </w:rPr>
      </w:pPr>
    </w:p>
    <w:p>
      <w:pPr>
        <w:ind w:left="1800" w:right="69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which requires us to manage costs, obtain significant additional funding to execute our business plan, and achieve our production targets for the Endurance in 2022 and beyond, and our ability to raise such funding on a reasonable timeline and with suitable terms;</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in order to invest in the tooling that we expect will enable us to eventually lower the Endurance bill of materials cost, continue design enhancements of the Endurance and fund any future vehicles we may develop;</w:t>
      </w:r>
    </w:p>
    <w:p>
      <w:pPr>
        <w:spacing w:after="0" w:line="67" w:lineRule="exact"/>
        <w:rPr>
          <w:rFonts w:ascii="Times New Roman" w:cs="Times New Roman" w:eastAsia="Times New Roman" w:hAnsi="Times New Roman"/>
          <w:sz w:val="18"/>
          <w:szCs w:val="18"/>
          <w:color w:val="auto"/>
        </w:rPr>
      </w:pPr>
    </w:p>
    <w:p>
      <w:pPr>
        <w:ind w:left="1800" w:right="819" w:hanging="180"/>
        <w:spacing w:after="0" w:line="258"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impacts of contingent liabilities such as current and future litigation, claims, regulatory proceedings, investigations, complaints, product liability claims, stockholder demand letters, availability of insurance coverage and/or adverse publicity, which may have a material adverse effect, whether or not successful or valid, on our liquidity position, cash projections, business prospects and ability and timeframe to obtain financing;</w:t>
      </w:r>
    </w:p>
    <w:p>
      <w:pPr>
        <w:spacing w:after="0" w:line="75"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from our recently completed transactions and agreements with Foxconn;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expansion plans, strategic alliances and other opportunities, including development and market acceptance of our planned products;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limited operating history, the rollout of our business and the timing of expected business milestones, including the ability to complete the engineering of the Endurance, to ensure completion of the retooling of the production facility, to establish appropriate supplier relationships, to successfully complete testing, homologation and certification and to start commercial production and delivery of the Endurance, in accordance with our projected timeline;</w:t>
      </w:r>
    </w:p>
    <w:p>
      <w:pPr>
        <w:spacing w:after="0" w:line="75"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maintain suppliers for our critical components and the terms of such arrangements, and our ability to complete building out our supply chain;</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3"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raw materials and components, particularly in light of current supply chain disruptions and labor concerns, inflation, and the consequences of such shortages on testing and other activities, which could present challenges that impact the timing of our commercial production;</w:t>
      </w:r>
    </w:p>
    <w:p>
      <w:pPr>
        <w:spacing w:after="0" w:line="291"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implement actions that will lower the Endurance bill of materials cost, including sourcing benefits anticipated from our relationship with Foxconn;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67" w:lineRule="exact"/>
        <w:rPr>
          <w:rFonts w:ascii="Times New Roman" w:cs="Times New Roman" w:eastAsia="Times New Roman" w:hAnsi="Times New Roman"/>
          <w:sz w:val="18"/>
          <w:szCs w:val="18"/>
          <w:color w:val="auto"/>
        </w:rPr>
      </w:pPr>
    </w:p>
    <w:p>
      <w:pPr>
        <w:jc w:val="both"/>
        <w:ind w:left="1800" w:right="87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on the expectations of customers with respect to the pricing, performance, quality, reliability, safety and efficiency of the Endurance and to provide the levels of after sale service and support that they will require;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technology, including our hub motors, do not perform as expected;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business using a direct sales model, rather than through a dealer network used by most other OEMs;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debt covenants and the risks associated with having pledged significant assets as collateral for recently incurred indebtedness;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ability to market and sell vehicles;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and depth of electric vehicle adoption generally;</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regulatory approvals and changes in laws, regulatory requirements, governmental incentives and fuel and energy prices;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including the COVID-19 pandemic, on our business, the other risks we face and the actions we may take in response thereto;</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compliance with privacy and data protection laws;</w:t>
      </w:r>
    </w:p>
    <w:p>
      <w:pPr>
        <w:spacing w:after="0" w:line="117"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implement and maintain adequate financial, information technology and management processes and controls and procedures; and</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geopolitical, business and/or competitive factors, including the direct and indirect effects of the war in Ukraine.</w:t>
      </w:r>
    </w:p>
    <w:p>
      <w:pPr>
        <w:spacing w:after="0" w:line="94"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We qualify all of the forward-looking statements contained in this prospectus, in the documents incorporated by reference herein and in any prospectus supplement by these cautionary statements. These forward-looking statements speak only as of the date on which the statements were made and are not guarantees of future performance. Although we undertake no obligation to revise or update any forward-looking statements, whether as a result of new information, future events or otherwise, you are advised to review any additional disclosures we make in the documents we subsequently file with the SEC that are incorporated by reference in this prospectus and any prospectus supplement.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All of the Class A common stock and Private Placement Warrants offered by the Selling Securityholders pursuant to this prospectus will be sold by the Selling Securityholders for their respective accounts. We will not receive any proceeds from the sale of our securities by the Selling Securityholders pursuant to this prospectus.</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will receive up to an aggregate of approximately $43.1 million from the exercise of the Warrants, assuming the exercise in full of all of the Warrants for cash. There is no assurance that the holders of the Warrants will elect to exercise any or all of such Warrants. To the extent that any Warrants are exercised on a “cashless basis,” the amount of cash we would receive from the exercise of the Warrants will decrease. We will have broad discretion regarding the timing and application of the net proceeds from this offering. We expect to use the net proceeds from the exercise of any Warrants for general corporate purposes. Pending the ultimate use of such proceeds, we may invest the net proceeds in short-term, investment-grade,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securities is not intended to be a complete summary of the rights and preferences of such securities, and is qualified by reference to our Second Amended and Restated Certificate of Incorporation(the “Charter”), our Amended and Restated Bylaws (the “Bylaws”) and the Warrant-related documents described herein, which are exhibits to the registration statement of which this prospectus is a part. We urge to you read each of the Charter, the Bylaws and the Warrant-related documents described herein in their entirety for a complete description of the rights and preferences of our securities.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Charter authorizes the issuance of 462,000,000 shares of capital stock, $0.0001 par value per share, consisting of 450,000,000 shares of Class A common stock and 12,000,000 shares of undesignated preferred stock, $0.0001 par value per share. The outstanding shares of Class A common stock are duly authorized, validly issued, fully paid and non-assessable.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4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60"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46"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Class A common stock.</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of our board of directors to issue preferred stock without stockholder approval could have the effect of delaying, deferring or preventing a change of control of us or the removal of existing management.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no preferred stock outstanding as of the date hereof.</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As of August 1, 2022, there were 3,925,953 Warrants outstanding in the aggregate to purchase our Class A common stock, consisting of 2,276,464 Private Placement Warrants and 1,649,489 BGL Warrants.</w:t>
      </w:r>
    </w:p>
    <w:p>
      <w:pPr>
        <w:spacing w:after="0" w:line="79"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Except as discussed below, including under “</w:t>
      </w:r>
      <w:r>
        <w:rPr>
          <w:rFonts w:ascii="Times New Roman" w:cs="Times New Roman" w:eastAsia="Times New Roman" w:hAnsi="Times New Roman"/>
          <w:sz w:val="18"/>
          <w:szCs w:val="18"/>
          <w:i w:val="1"/>
          <w:iCs w:val="1"/>
          <w:color w:val="auto"/>
        </w:rPr>
        <w:t>Private Placement Warrants and BGL Warrants</w:t>
      </w:r>
      <w:r>
        <w:rPr>
          <w:rFonts w:ascii="Times New Roman" w:cs="Times New Roman" w:eastAsia="Times New Roman" w:hAnsi="Times New Roman"/>
          <w:sz w:val="18"/>
          <w:szCs w:val="18"/>
          <w:color w:val="auto"/>
        </w:rPr>
        <w:t>,” the Private Placement Warrants and BGL Warrants have terms and provisions that are identical to those of the previously outstanding Public Warrants, as described below.</w:t>
      </w:r>
    </w:p>
    <w:p>
      <w:pPr>
        <w:spacing w:after="0" w:line="10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whole share of our Class A common stock at a price of $11.50 per share (or $ 10.00 per share in the case of the BGL Warrants), subject to adjustment as discussed below. Pursuant to the Warrant Agreement, a Warrant holder may exercise its Warrants only for a whole number of shares of Class A common stock. This means that only a whole Warrant may be exercised at any given time by a Warrant holder. The Warrants will expire on October 23, 2025, at 5:00 p.m., New York City time (or October 23, 2023, at 5:00 p.m., New York City time, in the case of the BGL Warrants), or earlier upon redemption or liquidation.</w:t>
      </w:r>
    </w:p>
    <w:p>
      <w:pPr>
        <w:spacing w:after="0" w:line="114"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have filed this registration statement registering the resale of the Class A common stock issuable upon future exercise of the Private Placement Warrants or the BGL Warrants. We will use our reasonable best efforts to maintain the effectiveness of such registration statement, and a current prospectus relating thereto, until the expiration of the Warrants in accordance with the provisions of the Warrant Agreement.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 and BGL Warrants</w:t>
      </w:r>
    </w:p>
    <w:p>
      <w:pPr>
        <w:spacing w:after="0" w:line="148"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will not be redeemable by us so long as they are held by DiamondPeak’s sponsor, DiamondPeak Sponsor LLC (the “Sponsor”), certain funds and accounts managed by subsidiaries of BlackRock, Inc. (collectively, the “Anchor Investor”) or their respective permitted transferees or any of our officers or directors. Otherwise, the Private Placement Warrants have terms and provisions that are identical to the previously outstanding Public Warrants, including as to exercise price, exercisability and exercise period. If the Private Placement Warrants are held by someone other than the initial purchasers or their permitted transferees, the Private Placement Warrants will be redeemable by us and exercisable by such holders on the same basis as the previously outstanding Public Warrants.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their Private Placement Warrants in that number of shares of Class A common stock equal to the quotient obtained by dividing (x) the product of the number of shares of Class A common stock underlying such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July 24, 2020, Legacy Lordstown entered into an amended engagement agreement (the “BGL Letter Agreement”) with Brown, Gibbons Lang &amp; Company Securities, Inc. (“BGL Securities”), pursuant to which, among other things, BGL Securities was engaged to serve as a financial advisor to Legacy Lordstown in connection with the Business Combination and other related transactions. Among other things, Legacy Lordstown agreed that contemporaneously with the Closing, we would issue the BGL Warrants to BGL Securities or its designee (which in this case is BGL), entitling it to purchase, in the aggregate, 1% of our issued and outstanding Class A common stock, as determined immediately after giving effect to the Business Combination and the PIPE investment that occurred in connection therewith.</w:t>
      </w:r>
    </w:p>
    <w:p>
      <w:pPr>
        <w:spacing w:after="0" w:line="119"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color w:val="auto"/>
        </w:rPr>
        <w:t>The BGL Warrants have an exercise price of $10.00 per share and are exercisable until October 23, 2023 without regard as to whether a registration statement with respect to the underlying shares is then in effect. Other than the exercise price and other terms set forth in the BGL Letter Agreement as described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and certain other terms consistent with the nature of the BGL Warrants (i.e., that they were privately, rather than publicly, issued), the BGL Warrants are subject to substantially the same terms and conditions as the previously outstanding Public Warrants.</w:t>
      </w:r>
    </w:p>
    <w:p>
      <w:pPr>
        <w:spacing w:after="0" w:line="10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Notwithstanding any rights that we have to redeem, exchange or force an exercise of the BGL Warrants, we agreed only to exercise any such rights over any BGL Warrants to the extent that the shares of Class A common stock that are issuable upon BGL’s exercise of the BGL Warrants (i) are not then subject to lock-up restrictions and (ii) either (a) are then subject to an effective registration statement covering the resale of such shares by BGL (and such registration statement is then available for such resale) or (b) may then be sold by BGL pursuant to Rule 144 under the Securities Act (“Rule 144”).</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for Cash</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call the outstanding Warrants for redemption:</w:t>
      </w:r>
    </w:p>
    <w:p>
      <w:pPr>
        <w:spacing w:after="0" w:line="117"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99" w:lineRule="exact"/>
        <w:rPr>
          <w:sz w:val="20"/>
          <w:szCs w:val="20"/>
          <w:color w:val="auto"/>
        </w:rPr>
      </w:pPr>
    </w:p>
    <w:p>
      <w:pPr>
        <w:jc w:val="both"/>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94"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or $10.00 Warrant exercise price after the redemption notice is issued.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for Shares of Class A Common Stock</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redeem the outstanding Warrants:</w:t>
      </w:r>
    </w:p>
    <w:p>
      <w:pPr>
        <w:spacing w:after="0" w:line="117"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equal to a number of shares of Class A common stock to be determined by reference to the table below, based on the redemption date and the “fair market value” of our Class A common stock (as defined below) except as otherwise described below;</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our Class A common stock equals or exceeds $10.00 per share (as adjusted for stock splits, stock dividends, reorganizations, recapitalizations and the like) on the trading day prior to the date on which we send the notice of redemption to the Warrant holders; and</w:t>
      </w:r>
    </w:p>
    <w:p>
      <w:pPr>
        <w:spacing w:after="0" w:line="291"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shares of Class A common stock issuable upon exercise of the Warrants and a current prospectus relating thereto available throughout the 30-day period after written notice of redemption is given.</w:t>
      </w:r>
    </w:p>
    <w:p>
      <w:pPr>
        <w:spacing w:after="0" w:line="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shares of Class A common stock that a Warrant holder will receive upon redemption by us pursuant to this redemption feature, based on the “fair market value” of our Class A common stock on the corresponding redemption date,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stock prices set forth in the column headings of the table below will be adjusted as of any date on which the number of shares issuable upon exercise of a Warrant is adjusted. The adjusted stock prices in the column headings will equal the stock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14"/>
          </w:tcPr>
          <w:p>
            <w:pPr>
              <w:ind w:left="160"/>
              <w:spacing w:after="0"/>
              <w:rPr>
                <w:sz w:val="20"/>
                <w:szCs w:val="20"/>
                <w:color w:val="auto"/>
              </w:rPr>
            </w:pPr>
            <w:r>
              <w:rPr>
                <w:rFonts w:ascii="Times New Roman" w:cs="Times New Roman" w:eastAsia="Times New Roman" w:hAnsi="Times New Roman"/>
                <w:sz w:val="14"/>
                <w:szCs w:val="14"/>
                <w:b w:val="1"/>
                <w:bCs w:val="1"/>
                <w:color w:val="auto"/>
              </w:rPr>
              <w:t>Fair Market Value of Class A Common Stock</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760" w:type="dxa"/>
            <w:vAlign w:val="bottom"/>
            <w:gridSpan w:val="3"/>
          </w:tcPr>
          <w:p>
            <w:pPr>
              <w:jc w:val="right"/>
              <w:ind w:righ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$10.00 </w:t>
            </w:r>
            <w:r>
              <w:rPr>
                <w:rFonts w:ascii="Times New Roman" w:cs="Times New Roman" w:eastAsia="Times New Roman" w:hAnsi="Times New Roman"/>
                <w:sz w:val="27"/>
                <w:szCs w:val="27"/>
                <w:b w:val="1"/>
                <w:bCs w:val="1"/>
                <w:color w:val="auto"/>
                <w:vertAlign w:val="subscript"/>
              </w:rPr>
              <w:t>​</w:t>
            </w:r>
          </w:p>
        </w:tc>
        <w:tc>
          <w:tcPr>
            <w:tcW w:w="64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$11.00 </w:t>
            </w:r>
            <w:r>
              <w:rPr>
                <w:rFonts w:ascii="Times New Roman" w:cs="Times New Roman" w:eastAsia="Times New Roman" w:hAnsi="Times New Roman"/>
                <w:sz w:val="27"/>
                <w:szCs w:val="27"/>
                <w:b w:val="1"/>
                <w:bCs w:val="1"/>
                <w:color w:val="auto"/>
                <w:vertAlign w:val="subscript"/>
              </w:rPr>
              <w:t>​</w:t>
            </w:r>
          </w:p>
        </w:tc>
        <w:tc>
          <w:tcPr>
            <w:tcW w:w="6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$12.00 </w:t>
            </w:r>
            <w:r>
              <w:rPr>
                <w:rFonts w:ascii="Times New Roman" w:cs="Times New Roman" w:eastAsia="Times New Roman" w:hAnsi="Times New Roman"/>
                <w:sz w:val="27"/>
                <w:szCs w:val="27"/>
                <w:b w:val="1"/>
                <w:bCs w:val="1"/>
                <w:color w:val="auto"/>
                <w:vertAlign w:val="subscript"/>
              </w:rPr>
              <w:t>​</w:t>
            </w:r>
          </w:p>
        </w:tc>
        <w:tc>
          <w:tcPr>
            <w:tcW w:w="6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$13.00 </w:t>
            </w:r>
            <w:r>
              <w:rPr>
                <w:rFonts w:ascii="Times New Roman" w:cs="Times New Roman" w:eastAsia="Times New Roman" w:hAnsi="Times New Roman"/>
                <w:sz w:val="27"/>
                <w:szCs w:val="27"/>
                <w:b w:val="1"/>
                <w:bCs w:val="1"/>
                <w:color w:val="auto"/>
                <w:vertAlign w:val="subscript"/>
              </w:rPr>
              <w:t>​</w:t>
            </w:r>
          </w:p>
        </w:tc>
        <w:tc>
          <w:tcPr>
            <w:tcW w:w="64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$14.00 </w:t>
            </w:r>
            <w:r>
              <w:rPr>
                <w:rFonts w:ascii="Times New Roman" w:cs="Times New Roman" w:eastAsia="Times New Roman" w:hAnsi="Times New Roman"/>
                <w:sz w:val="27"/>
                <w:szCs w:val="27"/>
                <w:b w:val="1"/>
                <w:bCs w:val="1"/>
                <w:color w:val="auto"/>
                <w:vertAlign w:val="subscript"/>
              </w:rPr>
              <w:t>​</w:t>
            </w:r>
          </w:p>
        </w:tc>
        <w:tc>
          <w:tcPr>
            <w:tcW w:w="64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$15.00 </w:t>
            </w:r>
            <w:r>
              <w:rPr>
                <w:rFonts w:ascii="Times New Roman" w:cs="Times New Roman" w:eastAsia="Times New Roman" w:hAnsi="Times New Roman"/>
                <w:sz w:val="27"/>
                <w:szCs w:val="27"/>
                <w:b w:val="1"/>
                <w:bCs w:val="1"/>
                <w:color w:val="auto"/>
                <w:vertAlign w:val="subscript"/>
              </w:rPr>
              <w:t>​</w:t>
            </w:r>
          </w:p>
        </w:tc>
        <w:tc>
          <w:tcPr>
            <w:tcW w:w="6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$16.00 </w:t>
            </w:r>
            <w:r>
              <w:rPr>
                <w:rFonts w:ascii="Times New Roman" w:cs="Times New Roman" w:eastAsia="Times New Roman" w:hAnsi="Times New Roman"/>
                <w:sz w:val="27"/>
                <w:szCs w:val="27"/>
                <w:b w:val="1"/>
                <w:bCs w:val="1"/>
                <w:color w:val="auto"/>
                <w:vertAlign w:val="subscript"/>
              </w:rPr>
              <w:t>​</w:t>
            </w:r>
          </w:p>
        </w:tc>
        <w:tc>
          <w:tcPr>
            <w:tcW w:w="64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$17.00 </w:t>
            </w:r>
            <w:r>
              <w:rPr>
                <w:rFonts w:ascii="Times New Roman" w:cs="Times New Roman" w:eastAsia="Times New Roman" w:hAnsi="Times New Roman"/>
                <w:sz w:val="27"/>
                <w:szCs w:val="27"/>
                <w:b w:val="1"/>
                <w:bCs w:val="1"/>
                <w:color w:val="auto"/>
                <w:vertAlign w:val="subscript"/>
              </w:rPr>
              <w:t>​</w:t>
            </w:r>
          </w:p>
        </w:tc>
        <w:tc>
          <w:tcPr>
            <w:tcW w:w="56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$18.00 </w:t>
            </w:r>
            <w:r>
              <w:rPr>
                <w:rFonts w:ascii="Times New Roman" w:cs="Times New Roman" w:eastAsia="Times New Roman" w:hAnsi="Times New Roman"/>
                <w:sz w:val="27"/>
                <w:szCs w:val="27"/>
                <w:b w:val="1"/>
                <w:bCs w:val="1"/>
                <w:color w:val="auto"/>
                <w:vertAlign w:val="subscript"/>
              </w:rPr>
              <w:t>​</w:t>
            </w:r>
          </w:p>
        </w:tc>
      </w:tr>
      <w:tr>
        <w:trPr>
          <w:trHeight w:val="20"/>
        </w:trPr>
        <w:tc>
          <w:tcPr>
            <w:tcW w:w="2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​​0.257​​</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​​0.277​​</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​​0.310​​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​​0.324​​</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​​0.348​​</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​​0.358​​</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​​0.252​​</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​​0.272​​</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​​0.307​​</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​​0.322​​</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​​0.335​​</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​​0.347​​</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​​0.357​​</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​​0.365​</w:t>
            </w:r>
          </w:p>
        </w:tc>
      </w:tr>
      <w:tr>
        <w:trPr>
          <w:trHeight w:val="257"/>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​​0.246​​</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​​0.268​​</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​​0.287​​</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​​0.304​​</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​​0.320​​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​​0.333​​</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​​0.346​​</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​​0.357​​</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​​0.241​​</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​​0.263​​</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​​0.283​​</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​​0.301​​</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​​0.317​​</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​​0.332​​</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​​0.344​​</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​​0.356​​</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​​0.365​</w:t>
            </w:r>
          </w:p>
        </w:tc>
      </w:tr>
      <w:tr>
        <w:trPr>
          <w:trHeight w:val="25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​​0.235​​</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​​0.258​​</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​​0.298​​</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​​0.315​​</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​​0.330​​</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​​0.343​​</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​​0.356​​</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​​0.228​​</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​​0.294​​</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​​0.312​​</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​​0.328​​</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​​0.342​​</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​​0.355​​</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​​0.364​</w:t>
            </w:r>
          </w:p>
        </w:tc>
      </w:tr>
      <w:tr>
        <w:trPr>
          <w:trHeight w:val="2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​​0.221​​</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​​0.269​​</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​​0.290​​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​​0.309​​</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​​0.325​​</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​​0.340​​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​​0.354​​</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​​0.213​​</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​​0.239​​</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​​0.263​​</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​​0.285​​</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​​0.305​​</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​​0.323​​</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​​0.339​​</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​​0.353​​</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​​0.364​</w:t>
            </w:r>
          </w:p>
        </w:tc>
      </w:tr>
      <w:tr>
        <w:trPr>
          <w:trHeight w:val="2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​​0.205​​</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​​0.232​​</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​​0.257​​</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​​0.280​​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​​0.301​​</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​​0.320​​</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​​0.337​​</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​​0.352​​</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​​0.196​​</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​​0.224​​</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​​0.274​​</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​​0.297​​</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​​0.316​​</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​​0.335​​</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​​0.351​​</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​​0.364​</w:t>
            </w:r>
          </w:p>
        </w:tc>
      </w:tr>
      <w:tr>
        <w:trPr>
          <w:trHeight w:val="2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​​0.185​​</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​​0.214​​</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​​0.268​​</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​​0.313​​</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​​0.332​​</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​​0.350​​</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​​0.173​​</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​​0.204​​</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​​0.260​​</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​​0.285​​</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​​0.308​​</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​​0.329​​</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​​0.348​​</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​​0.364​</w:t>
            </w:r>
          </w:p>
        </w:tc>
      </w:tr>
      <w:tr>
        <w:trPr>
          <w:trHeight w:val="2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​​0.161​​</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​​0.193​​</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​​0.223​​</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​​0.304​​</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​​0.326​​</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​​0.347​​</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​​0.146​​</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​​0.179​​</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​​0.211​​</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​​0.242​​</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​​0.271​​</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​​0.298​​</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​​0.322​​</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​​0.345​​</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​​0.363​</w:t>
            </w:r>
          </w:p>
        </w:tc>
      </w:tr>
      <w:tr>
        <w:trPr>
          <w:trHeight w:val="2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​​0.130​​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​​0.164​​</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​​0.230​​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​​0.262​​</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​​0.317​​</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​​0.342​​</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​​0.111​​</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​​0.181​​</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​​0.216​​</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​​0.250​​</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​​0.282​​</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​​0.312​​</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​​0.339​​</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​​0.363​</w:t>
            </w:r>
          </w:p>
        </w:tc>
      </w:tr>
      <w:tr>
        <w:trPr>
          <w:trHeight w:val="2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​​0.090​​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​​0.125​​</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​​0.162​​</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​​0.199​​</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​​0.237​​</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​​0.272​​</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​​0.305​​</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​​0.336​​</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​​0.065​​</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​​0.099​​</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​​0.137​​</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​​0.178​​</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​​0.219​​</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​​0.259​​</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​​0.296​​</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​​0.331​​</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​​0.362​</w:t>
            </w:r>
          </w:p>
        </w:tc>
      </w:tr>
      <w:tr>
        <w:trPr>
          <w:trHeight w:val="2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​​0.034​​</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​​0.104​​</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​​0.150​​</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​​0.243​​</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​​0.286​​</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​​0.326​​</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​​0.042​​</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​​0.115​​</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​​0.179​​</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​​0.281​​</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​​0.323​​</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-3411220</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-3411220</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-3411220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-3411220</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-3411220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-3411220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-3411220</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-3411220</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-3411220</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the fair market value is between two values in the table or the redemption date is between two redemption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dates in the table, the number of shares of Class A common stock to be issued for each Warrant redeemed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be determined by a straight-line interpolation between the number of shares set forth for the higher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lower fair market values and the earlier and later redemption dates, as applicable, based on a 365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366-day year, as applicable. For example, if the average last reported sale price of our Class A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for the 10 trading days ending on the third trading date prior to the date on which the notice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redemption is sent to the holders of the Warrants is $11.00 per share, and at such time there are 57 months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until the expiration of the Warrants, we may choose to, pursuant to this redemption feature, redeem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Warrants at a “redemption price” of 0.277 shares of Class A common stock for each whole Warrant. For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example where the exact fair market value and redemption date are not as set forth in the table above, if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average last reported sale price of our Class A common stock for the 10 trading days ending on the third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trading date prior to the date on which the notice of redemption is sent to the holders of the Warrants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$13.50 per share, and at such time there are 38 months until the expiration of the Warrants, we may choose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pursuant to this redemption feature, redeem the Warrants at a “redemption price” of 0.298 shares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common stock for each whole Warrant. Finally, as reflected in the table above, we can redeem the Warrants for no consideration in the event that the Warrants are “out of the money” ​(i.e. the trading price of our Class A common stock is below the exercise price of the Warrants) and about to expire.</w:t>
      </w:r>
    </w:p>
    <w:p>
      <w:pPr>
        <w:spacing w:after="0" w:line="10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As stated above, we can redeem the Warrants when the Class A common stock is trading at a price starting at $10.00, which is at or below the exercise price of $10.00 or $11.50, as applicable, because it will provide certainty with respect to our capital structure and cash position while providing Warrant holders with fair value (in the form of shares of Class A common stock). If we choose to redeem the Warrants when the Class A common stock is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Class A common stock was trading at a price higher than the exercise price.</w:t>
      </w:r>
    </w:p>
    <w:p>
      <w:pPr>
        <w:spacing w:after="0" w:line="119"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redemption. If, upon redemption, a holder would be entitled to receive a fractional interest in a share, we will round down to the nearest whole number of shares of Class A common stock to be issued to the holder.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elects this option, all holders of Warrants would pay the exercise price by surrendering their Warrants for that number of shares of Class A common stock equal to the quotient obtained by dividing (x) the product of the number of shares of Class A common</w:t>
      </w:r>
    </w:p>
    <w:p>
      <w:pPr>
        <w:spacing w:after="0" w:line="2"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elect this option, our Sponsor, our Anchor Investor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1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w:t>
      </w:r>
    </w:p>
    <w:p>
      <w:pPr>
        <w:spacing w:after="0" w:line="4" w:lineRule="exact"/>
        <w:rPr>
          <w:sz w:val="20"/>
          <w:szCs w:val="20"/>
          <w:color w:val="auto"/>
        </w:rPr>
      </w:pPr>
    </w:p>
    <w:p>
      <w:pPr>
        <w:jc w:val="both"/>
        <w:ind w:left="1260" w:right="619"/>
        <w:spacing w:after="0" w:line="242" w:lineRule="auto"/>
        <w:tabs>
          <w:tab w:leader="none" w:pos="14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or (c) to satisfy the redemption rights of the holders of Class A common stock in connection with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1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1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its Warrants immediately prior to such event. If less than 70.0%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w:t>
      </w:r>
    </w:p>
    <w:p>
      <w:pPr>
        <w:spacing w:after="0" w:line="218" w:lineRule="exact"/>
        <w:rPr>
          <w:sz w:val="20"/>
          <w:szCs w:val="20"/>
          <w:color w:val="auto"/>
        </w:rPr>
      </w:pPr>
    </w:p>
    <w:p>
      <w:pPr>
        <w:ind w:left="1260" w:right="959"/>
        <w:spacing w:after="0" w:line="246" w:lineRule="auto"/>
        <w:rPr>
          <w:sz w:val="20"/>
          <w:szCs w:val="20"/>
          <w:color w:val="auto"/>
        </w:rPr>
      </w:pPr>
      <w:r>
        <w:rPr>
          <w:rFonts w:ascii="Times New Roman" w:cs="Times New Roman" w:eastAsia="Times New Roman" w:hAnsi="Times New Roman"/>
          <w:sz w:val="18"/>
          <w:szCs w:val="18"/>
          <w:color w:val="auto"/>
        </w:rPr>
        <w:t>30 days following public disclosure of such transaction, the Warrant exercise price will be reduced as specified in the Warrant Agreement based on the Black-Scholes value (as defined in the Warrant Agreement) of the Warrant.</w:t>
      </w:r>
    </w:p>
    <w:p>
      <w:pPr>
        <w:spacing w:after="0" w:line="113"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American Stock Transfer &amp; Trust Company, as warrant agent, and us. The Warrant Agreement provides that the terms of the Warrants may be amended without the consent of any holder to cure any ambiguity or correct any defective provision.</w:t>
      </w:r>
    </w:p>
    <w:p>
      <w:pPr>
        <w:spacing w:after="0" w:line="110"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spacing w:after="0" w:line="266" w:lineRule="auto"/>
        <w:rPr>
          <w:sz w:val="20"/>
          <w:szCs w:val="20"/>
          <w:color w:val="auto"/>
        </w:rPr>
      </w:pPr>
      <w:r>
        <w:rPr>
          <w:rFonts w:ascii="Times New Roman" w:cs="Times New Roman" w:eastAsia="Times New Roman" w:hAnsi="Times New Roman"/>
          <w:sz w:val="18"/>
          <w:szCs w:val="18"/>
          <w:color w:val="auto"/>
        </w:rPr>
        <w:t>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860" w:firstLine="360"/>
        <w:spacing w:after="0" w:line="261" w:lineRule="auto"/>
        <w:rPr>
          <w:sz w:val="20"/>
          <w:szCs w:val="20"/>
          <w:color w:val="auto"/>
        </w:rPr>
      </w:pPr>
      <w:r>
        <w:rPr>
          <w:rFonts w:ascii="Times New Roman" w:cs="Times New Roman" w:eastAsia="Times New Roman" w:hAnsi="Times New Roman"/>
          <w:sz w:val="18"/>
          <w:szCs w:val="18"/>
          <w:color w:val="auto"/>
        </w:rPr>
        <w:t>The Selling Securityholders acquired the shares of our Class A common stock and the Private Placement Warrants offered hereby and may acquire the shares of our Class A common stock issuable upon exercise of the Private Placement Warrants and the BGL Warrants (the “Warrant Shares”), in each case, in a private offering pursuant to an exemption from registration under Section 4(a)(2) of the Securities Act.</w:t>
      </w:r>
    </w:p>
    <w:p>
      <w:pPr>
        <w:spacing w:after="0" w:line="112" w:lineRule="exact"/>
        <w:rPr>
          <w:sz w:val="20"/>
          <w:szCs w:val="20"/>
          <w:color w:val="auto"/>
        </w:rPr>
      </w:pPr>
    </w:p>
    <w:p>
      <w:pPr>
        <w:ind w:left="1260" w:right="880" w:firstLine="360"/>
        <w:spacing w:after="0" w:line="257" w:lineRule="auto"/>
        <w:rPr>
          <w:sz w:val="20"/>
          <w:szCs w:val="20"/>
          <w:color w:val="auto"/>
        </w:rPr>
      </w:pPr>
      <w:r>
        <w:rPr>
          <w:rFonts w:ascii="Times New Roman" w:cs="Times New Roman" w:eastAsia="Times New Roman" w:hAnsi="Times New Roman"/>
          <w:sz w:val="18"/>
          <w:szCs w:val="18"/>
          <w:color w:val="auto"/>
        </w:rPr>
        <w:t>Pursuant to various agreements with certain of the Selling Securityholders, we agreed to file the registration statement of which this prospectus forms a part with the SEC for the purposes of registering for resale the Private Placement Warrants, the Warrant Shares and certain shares of Class A common stock issued to the Selling Securityholders pursuant to such agreements. We are also registering for resale the shares of Class A common stock received by the Legacy Lordstown stockholders in the Business Combination.</w:t>
      </w:r>
    </w:p>
    <w:p>
      <w:pPr>
        <w:spacing w:after="0" w:line="323" w:lineRule="exact"/>
        <w:rPr>
          <w:sz w:val="20"/>
          <w:szCs w:val="20"/>
          <w:color w:val="auto"/>
        </w:rPr>
      </w:pPr>
    </w:p>
    <w:p>
      <w:pPr>
        <w:ind w:left="1260" w:right="800"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based on written representations from the Selling Securityholders, certain information as of July 22, 2022, except where noted below, regarding the beneficial ownership of the Selling Securityholders of our Class A common stock and the Private Placement Warrants and the shares of Class A common stock and the Private Placement Warrants being offered by the Selling Securityholders. Information with respect to shares of Class A common stock beneficially owned prior to the offering includes shares underlying Private Placement Warrants and other rights of such Selling Securityholder to acquire Class A common shares. The applicable percentage ownership of the securities being offered hereby is based on approximately 205,871,561 shares of Class A common stock outstanding as of August 1, 2022. Information with respect to shares of Class A common stock and the Private Placement Warrants owned beneficially after the offering assumes the sale of all of the shares of Class A common stock, Private Placement Warrants and Warrant Shares offered and no other purchases or sales of our securities. The Selling Securityholders may offer and sell some, all or none of their shares of Class A common stock, their Private Placement Warrants or Warrant Shares, as applicable.</w:t>
      </w:r>
    </w:p>
    <w:p>
      <w:pPr>
        <w:spacing w:after="0" w:line="120" w:lineRule="exact"/>
        <w:rPr>
          <w:sz w:val="20"/>
          <w:szCs w:val="20"/>
          <w:color w:val="auto"/>
        </w:rPr>
      </w:pPr>
    </w:p>
    <w:p>
      <w:pPr>
        <w:ind w:left="1260" w:right="860"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to the table below, we believe, based on the information furnished to us, that the Selling Securityholders have sole voting and investment power with respect to all shares of Class A common stock, the Private Placement Warrants and Warrant Shares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Beneficially</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Common Stock After the</w:t>
            </w: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Owned After the Offered</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Offered Shares of Class A</w:t>
            </w: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8"/>
                <w:szCs w:val="18"/>
                <w:color w:val="auto"/>
              </w:rPr>
            </w:pPr>
          </w:p>
        </w:tc>
        <w:tc>
          <w:tcPr>
            <w:tcW w:w="168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Common Stock Are Sold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Are Sold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3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8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Placement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After the Offered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12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Owned Prior  Stock Being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Being</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900" w:type="dxa"/>
            <w:vAlign w:val="bottom"/>
            <w:gridSpan w:val="3"/>
          </w:tcPr>
          <w:p>
            <w:pPr>
              <w:jc w:val="right"/>
              <w:ind w:right="1"/>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 Offering</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Offered</w:t>
            </w:r>
            <w:r>
              <w:rPr>
                <w:rFonts w:ascii="Times New Roman" w:cs="Times New Roman" w:eastAsia="Times New Roman" w:hAnsi="Times New Roman"/>
                <w:sz w:val="17"/>
                <w:szCs w:val="17"/>
                <w:b w:val="1"/>
                <w:bCs w:val="1"/>
                <w:color w:val="auto"/>
                <w:w w:val="93"/>
                <w:vertAlign w:val="superscript"/>
              </w:rPr>
              <w:t>(1)</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Are Sold</w:t>
            </w:r>
          </w:p>
        </w:tc>
        <w:tc>
          <w:tcPr>
            <w:tcW w:w="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0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Abel Family Investments LLC</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782,005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782,005​​​​</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Adam &amp; Ellen Gannon Shapiro JT TEN</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50,055</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44,555​​​​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5,500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Adam Perlow &amp; Marlo S. Perlow JT TEN</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27,940</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27,940​​​​</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Albert T. Adams, Trustee of The Albert 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Adams Trust</w:t>
            </w:r>
            <w:r>
              <w:rPr>
                <w:rFonts w:ascii="Times New Roman" w:cs="Times New Roman" w:eastAsia="Times New Roman" w:hAnsi="Times New Roman"/>
                <w:sz w:val="19"/>
                <w:szCs w:val="19"/>
                <w:color w:val="auto"/>
                <w:vertAlign w:val="superscript"/>
              </w:rPr>
              <w:t>(2)</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100,383</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100,383​​​​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Albert Thomas Adams</w:t>
            </w:r>
            <w:r>
              <w:rPr>
                <w:rFonts w:ascii="Times New Roman" w:cs="Times New Roman" w:eastAsia="Times New Roman" w:hAnsi="Times New Roman"/>
                <w:sz w:val="19"/>
                <w:szCs w:val="19"/>
                <w:color w:val="auto"/>
                <w:vertAlign w:val="superscript"/>
              </w:rPr>
              <w:t>(2)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55,881</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55,881​​​​</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Alexander Gitch</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575</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Alice A. Devine</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AMFCO-4 LLC</w:t>
            </w:r>
            <w:r>
              <w:rPr>
                <w:rFonts w:ascii="Times New Roman" w:cs="Times New Roman" w:eastAsia="Times New Roman" w:hAnsi="Times New Roman"/>
                <w:sz w:val="19"/>
                <w:szCs w:val="19"/>
                <w:color w:val="auto"/>
                <w:vertAlign w:val="superscript"/>
              </w:rPr>
              <w:t>(3)</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330,000</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29,000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Andrew D. Weller</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14,513</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14,513​​​​</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Andrew Richardson</w:t>
            </w:r>
            <w:r>
              <w:rPr>
                <w:rFonts w:ascii="Times New Roman" w:cs="Times New Roman" w:eastAsia="Times New Roman" w:hAnsi="Times New Roman"/>
                <w:sz w:val="19"/>
                <w:szCs w:val="19"/>
                <w:color w:val="auto"/>
                <w:vertAlign w:val="superscript"/>
              </w:rPr>
              <w:t>(4)</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88,357</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88,357​​​​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-1739900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-1739900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-1739900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-1739900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-1739900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-1739900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-1739900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-1739900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p>
      <w:pPr>
        <w:spacing w:after="0" w:line="3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Beneficially</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Stock After the</w:t>
            </w: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Owned After the Offered</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Offered Shares of Class A</w:t>
            </w: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68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Common Stock Are Sold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Are Sold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0" w:type="dxa"/>
            <w:vAlign w:val="bottom"/>
          </w:tcPr>
          <w:p>
            <w:pPr>
              <w:spacing w:after="0"/>
              <w:rPr>
                <w:sz w:val="17"/>
                <w:szCs w:val="17"/>
                <w:color w:val="auto"/>
              </w:rPr>
            </w:pP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14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After the Offered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4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Being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Being</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8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 Offering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Offered</w:t>
            </w:r>
            <w:r>
              <w:rPr>
                <w:rFonts w:ascii="Times New Roman" w:cs="Times New Roman" w:eastAsia="Times New Roman" w:hAnsi="Times New Roman"/>
                <w:sz w:val="17"/>
                <w:szCs w:val="17"/>
                <w:b w:val="1"/>
                <w:bCs w:val="1"/>
                <w:color w:val="auto"/>
                <w:w w:val="93"/>
                <w:vertAlign w:val="superscript"/>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Are Sold</w:t>
            </w:r>
          </w:p>
        </w:tc>
        <w:tc>
          <w:tcPr>
            <w:tcW w:w="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0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B. Cimino*</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183,411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183,411​​​</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Anthony J. Hasapis*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5,019</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5,019​​​</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V. Milone</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52,589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52,308​​​</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281</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Armory Fund LP</w:t>
            </w:r>
            <w:r>
              <w:rPr>
                <w:rFonts w:ascii="Times New Roman" w:cs="Times New Roman" w:eastAsia="Times New Roman" w:hAnsi="Times New Roman"/>
                <w:sz w:val="19"/>
                <w:szCs w:val="19"/>
                <w:color w:val="auto"/>
                <w:vertAlign w:val="superscript"/>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273,000</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210,000​​​</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63,000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Third of Hamamoto Family Trust</w:t>
            </w:r>
          </w:p>
        </w:tc>
        <w:tc>
          <w:tcPr>
            <w:tcW w:w="1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2003</w:t>
            </w:r>
            <w:r>
              <w:rPr>
                <w:rFonts w:ascii="Times New Roman" w:cs="Times New Roman" w:eastAsia="Times New Roman" w:hAnsi="Times New Roman"/>
                <w:sz w:val="19"/>
                <w:szCs w:val="19"/>
                <w:color w:val="auto"/>
                <w:vertAlign w:val="superscript"/>
              </w:rPr>
              <w:t>(5)</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994,755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202,933</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266,971​​​</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202,933​​​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​524,851</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ATJ Electrical Co Inc</w:t>
            </w:r>
            <w:r>
              <w:rPr>
                <w:rFonts w:ascii="Times New Roman" w:cs="Times New Roman" w:eastAsia="Times New Roman" w:hAnsi="Times New Roman"/>
                <w:sz w:val="19"/>
                <w:szCs w:val="19"/>
                <w:color w:val="auto"/>
                <w:vertAlign w:val="superscript"/>
              </w:rPr>
              <w:t>(6)</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40,304</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30,304​​​</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Barbara G. Samuels</w:t>
            </w:r>
            <w:r>
              <w:rPr>
                <w:rFonts w:ascii="Times New Roman" w:cs="Times New Roman" w:eastAsia="Times New Roman" w:hAnsi="Times New Roman"/>
                <w:sz w:val="19"/>
                <w:szCs w:val="19"/>
                <w:color w:val="auto"/>
                <w:vertAlign w:val="superscript"/>
              </w:rPr>
              <w:t>(7)</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235,342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235,342​​​</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Barrett A. Binion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753</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288​​​</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BEMAP Master Fund Ltd*</w:t>
            </w:r>
            <w:r>
              <w:rPr>
                <w:rFonts w:ascii="Times New Roman" w:cs="Times New Roman" w:eastAsia="Times New Roman" w:hAnsi="Times New Roman"/>
                <w:sz w:val="19"/>
                <w:szCs w:val="19"/>
                <w:color w:val="auto"/>
                <w:vertAlign w:val="superscript"/>
              </w:rPr>
              <w:t>(8)</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545,454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545,454​​​</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Blackwell Horizon LLC</w:t>
            </w:r>
            <w:r>
              <w:rPr>
                <w:rFonts w:ascii="Times New Roman" w:cs="Times New Roman" w:eastAsia="Times New Roman" w:hAnsi="Times New Roman"/>
                <w:sz w:val="19"/>
                <w:szCs w:val="19"/>
                <w:color w:val="auto"/>
                <w:vertAlign w:val="superscript"/>
              </w:rPr>
              <w:t>(9)</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46,466</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46,466​​​</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BLDG, LLC</w:t>
            </w:r>
            <w:r>
              <w:rPr>
                <w:rFonts w:ascii="Times New Roman" w:cs="Times New Roman" w:eastAsia="Times New Roman" w:hAnsi="Times New Roman"/>
                <w:sz w:val="19"/>
                <w:szCs w:val="19"/>
                <w:color w:val="auto"/>
                <w:vertAlign w:val="superscript"/>
              </w:rPr>
              <w:t>(10)</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10,060​​​</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Brad S. Lebovitz</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37,044</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37,044​​​</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Bradley L. Todora</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20,120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20,120​​​</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Brett Bossung</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649,667</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649,667​​​</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16,917​​​</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Brett C. Klyza</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7,493</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7,493​​​</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Brian A. Betancourt*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112,969</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112,969​​​</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Brian Frank</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Brian Roberts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122,204</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122,204​​​</w:t>
            </w:r>
            <w:r>
              <w:rPr>
                <w:rFonts w:ascii="Times New Roman" w:cs="Times New Roman" w:eastAsia="Times New Roman" w:hAnsi="Times New Roman"/>
                <w:sz w:val="16"/>
                <w:szCs w:val="16"/>
                <w:b w:val="1"/>
                <w:bCs w:val="1"/>
                <w:color w:val="auto"/>
              </w:rPr>
              <w:t>​</w:t>
            </w:r>
          </w:p>
        </w:tc>
        <w:tc>
          <w:tcPr>
            <w:tcW w:w="6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Brown Gibbons Lang &amp; Company</w:t>
            </w:r>
          </w:p>
        </w:tc>
        <w:tc>
          <w:tcPr>
            <w:tcW w:w="1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3020" w:type="dxa"/>
            <w:vAlign w:val="bottom"/>
            <w:shd w:val="clear" w:color="auto" w:fill="CCEEFF"/>
          </w:tcPr>
          <w:p>
            <w:pPr>
              <w:ind w:left="160"/>
              <w:spacing w:after="0" w:line="233" w:lineRule="exact"/>
              <w:rPr>
                <w:sz w:val="20"/>
                <w:szCs w:val="20"/>
                <w:color w:val="auto"/>
              </w:rPr>
            </w:pPr>
            <w:r>
              <w:rPr>
                <w:rFonts w:ascii="Times New Roman" w:cs="Times New Roman" w:eastAsia="Times New Roman" w:hAnsi="Times New Roman"/>
                <w:sz w:val="27"/>
                <w:szCs w:val="27"/>
                <w:color w:val="auto"/>
                <w:vertAlign w:val="subscript"/>
              </w:rPr>
              <w:t>LLC</w:t>
            </w:r>
            <w:r>
              <w:rPr>
                <w:rFonts w:ascii="Times New Roman" w:cs="Times New Roman" w:eastAsia="Times New Roman" w:hAnsi="Times New Roman"/>
                <w:sz w:val="9"/>
                <w:szCs w:val="9"/>
                <w:color w:val="auto"/>
              </w:rPr>
              <w:t>(11)</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1,649,489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96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1,649,489​​​</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Chris Prouty*</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40,082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40,082​​​</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 S. Westfahl</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67,379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67,379​​​</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Christine M. Ojile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5,769</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5,019​​​</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750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J. Cecchetelli</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Chuan D. Vo</w:t>
            </w:r>
            <w:r>
              <w:rPr>
                <w:rFonts w:ascii="Times New Roman" w:cs="Times New Roman" w:eastAsia="Times New Roman" w:hAnsi="Times New Roman"/>
                <w:sz w:val="19"/>
                <w:szCs w:val="19"/>
                <w:color w:val="auto"/>
                <w:vertAlign w:val="superscript"/>
              </w:rPr>
              <w:t>(12)</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227,641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717​​​</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​226,924</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Clayton E. Wimberly &amp; Joan Mary</w:t>
            </w:r>
          </w:p>
        </w:tc>
        <w:tc>
          <w:tcPr>
            <w:tcW w:w="1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Wimberly COMM WROS PROP*</w:t>
            </w:r>
          </w:p>
        </w:tc>
        <w:tc>
          <w:tcPr>
            <w:tcW w:w="2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15,152​​​</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Colleen C. Fennerty</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753</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753​​​</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Connie Leonard</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Constantine A. Tujios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43,881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43,881​​​</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J. Wampler &amp; Lisa Ann Wampler JT</w:t>
            </w:r>
          </w:p>
        </w:tc>
        <w:tc>
          <w:tcPr>
            <w:tcW w:w="12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03"/>
        </w:trPr>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TEN*</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177,446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177,446​​​</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Daniel W. Grotenhuis*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111,763</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111,763​​​</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Danielle Voroba</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David Ezekiel</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90,000</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90,000​​​</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Mazzullo*</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40,405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40,405​​​</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David T. Hamamoto</w:t>
            </w:r>
            <w:r>
              <w:rPr>
                <w:rFonts w:ascii="Times New Roman" w:cs="Times New Roman" w:eastAsia="Times New Roman" w:hAnsi="Times New Roman"/>
                <w:sz w:val="19"/>
                <w:szCs w:val="19"/>
                <w:color w:val="auto"/>
                <w:vertAlign w:val="superscript"/>
              </w:rPr>
              <w:t>(13)</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2,835,360</w:t>
            </w: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1,217,597</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2,819,423​​​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1,217,597​​​</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15,937</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Dechomai Asset Trust</w:t>
            </w:r>
            <w:r>
              <w:rPr>
                <w:rFonts w:ascii="Times New Roman" w:cs="Times New Roman" w:eastAsia="Times New Roman" w:hAnsi="Times New Roman"/>
                <w:sz w:val="19"/>
                <w:szCs w:val="19"/>
                <w:color w:val="auto"/>
                <w:vertAlign w:val="superscript"/>
              </w:rPr>
              <w:t>(14)</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-6145530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-6145530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-6145530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-6145530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-6145530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-6145530</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-6145530</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-6145530</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Beneficially</w:t>
            </w:r>
          </w:p>
        </w:tc>
        <w:tc>
          <w:tcPr>
            <w:tcW w:w="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Common Stock After the</w:t>
            </w: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Owned After the Offered</w:t>
            </w:r>
          </w:p>
        </w:tc>
        <w:tc>
          <w:tcPr>
            <w:tcW w:w="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Offered Shares of Class A</w:t>
            </w: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68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Common Stock Are Sold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Are Sold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60" w:type="dxa"/>
            <w:vAlign w:val="bottom"/>
          </w:tcPr>
          <w:p>
            <w:pPr>
              <w:spacing w:after="0"/>
              <w:rPr>
                <w:sz w:val="16"/>
                <w:szCs w:val="16"/>
                <w:color w:val="auto"/>
              </w:rPr>
            </w:pP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8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After the Offered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Prior</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Being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Being</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8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 Offering</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Offered</w:t>
            </w:r>
            <w:r>
              <w:rPr>
                <w:rFonts w:ascii="Times New Roman" w:cs="Times New Roman" w:eastAsia="Times New Roman" w:hAnsi="Times New Roman"/>
                <w:sz w:val="17"/>
                <w:szCs w:val="17"/>
                <w:b w:val="1"/>
                <w:bCs w:val="1"/>
                <w:color w:val="auto"/>
                <w:w w:val="93"/>
                <w:vertAlign w:val="superscript"/>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Are Sold</w:t>
            </w:r>
          </w:p>
        </w:tc>
        <w:tc>
          <w:tcPr>
            <w:tcW w:w="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9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Diamond Head Partners LLC</w:t>
            </w:r>
            <w:r>
              <w:rPr>
                <w:rFonts w:ascii="Times New Roman" w:cs="Times New Roman" w:eastAsia="Times New Roman" w:hAnsi="Times New Roman"/>
                <w:sz w:val="19"/>
                <w:szCs w:val="19"/>
                <w:color w:val="auto"/>
                <w:vertAlign w:val="superscript"/>
              </w:rPr>
              <w:t>(15)</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1,409,712</w:t>
            </w:r>
          </w:p>
        </w:tc>
        <w:tc>
          <w:tcPr>
            <w:tcW w:w="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608,799</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1,409,712​​​</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608,799​​​</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Dominic Audino*</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25,253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25,253​​​</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 Solomon*</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21,212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21,212​​​</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Edward and Judy Ptaszek JT TEN</w:t>
            </w:r>
            <w:r>
              <w:rPr>
                <w:rFonts w:ascii="Times New Roman" w:cs="Times New Roman" w:eastAsia="Times New Roman" w:hAnsi="Times New Roman"/>
                <w:sz w:val="19"/>
                <w:szCs w:val="19"/>
                <w:color w:val="auto"/>
                <w:vertAlign w:val="superscript"/>
              </w:rPr>
              <w:t>(16)</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55,881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55,881​​​</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Edward M. Giles Exempt Trust UAD</w:t>
            </w:r>
            <w:r>
              <w:rPr>
                <w:rFonts w:ascii="Times New Roman" w:cs="Times New Roman" w:eastAsia="Times New Roman" w:hAnsi="Times New Roman"/>
                <w:sz w:val="19"/>
                <w:szCs w:val="19"/>
                <w:color w:val="auto"/>
                <w:vertAlign w:val="superscript"/>
              </w:rPr>
              <w:t>(17)</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225,940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225,940​​​</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Edward M. Giles GST Exempt Trust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UAD 11/30/11</w:t>
            </w:r>
            <w:r>
              <w:rPr>
                <w:rFonts w:ascii="Times New Roman" w:cs="Times New Roman" w:eastAsia="Times New Roman" w:hAnsi="Times New Roman"/>
                <w:sz w:val="19"/>
                <w:szCs w:val="19"/>
                <w:color w:val="auto"/>
                <w:vertAlign w:val="superscript"/>
              </w:rPr>
              <w:t>(17)</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30,304</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30,304​​​</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Edward M. Giles Revocable Trust</w:t>
            </w:r>
            <w:r>
              <w:rPr>
                <w:rFonts w:ascii="Times New Roman" w:cs="Times New Roman" w:eastAsia="Times New Roman" w:hAnsi="Times New Roman"/>
                <w:sz w:val="19"/>
                <w:szCs w:val="19"/>
                <w:color w:val="auto"/>
                <w:vertAlign w:val="superscript"/>
              </w:rPr>
              <w:t>(18)</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393,585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393,585​​​</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Erieview Acquisition LLC</w:t>
            </w:r>
            <w:r>
              <w:rPr>
                <w:rFonts w:ascii="Times New Roman" w:cs="Times New Roman" w:eastAsia="Times New Roman" w:hAnsi="Times New Roman"/>
                <w:sz w:val="19"/>
                <w:szCs w:val="19"/>
                <w:color w:val="auto"/>
                <w:vertAlign w:val="superscript"/>
              </w:rPr>
              <w:t>(19)</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139,704</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139,704​​​</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Ernest Mario Fifteen Year</w:t>
            </w:r>
          </w:p>
        </w:tc>
        <w:tc>
          <w:tcPr>
            <w:tcW w:w="1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ResidenceTrust</w:t>
            </w:r>
            <w:r>
              <w:rPr>
                <w:rFonts w:ascii="Times New Roman" w:cs="Times New Roman" w:eastAsia="Times New Roman" w:hAnsi="Times New Roman"/>
                <w:sz w:val="19"/>
                <w:szCs w:val="19"/>
                <w:color w:val="auto"/>
                <w:vertAlign w:val="superscript"/>
              </w:rPr>
              <w:t>(20)</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102,020​​​</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Ernest Mario</w:t>
            </w:r>
            <w:r>
              <w:rPr>
                <w:rFonts w:ascii="Times New Roman" w:cs="Times New Roman" w:eastAsia="Times New Roman" w:hAnsi="Times New Roman"/>
                <w:sz w:val="19"/>
                <w:szCs w:val="19"/>
                <w:color w:val="auto"/>
                <w:vertAlign w:val="superscript"/>
              </w:rPr>
              <w:t>(67)</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83,353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83,353​​​</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 Hermes Kaufmann Small Cap</w:t>
            </w:r>
          </w:p>
        </w:tc>
        <w:tc>
          <w:tcPr>
            <w:tcW w:w="1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186"/>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Fund, a Portfolio of Federated Hermes</w:t>
            </w: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Funds</w:t>
            </w:r>
            <w:r>
              <w:rPr>
                <w:rFonts w:ascii="Times New Roman" w:cs="Times New Roman" w:eastAsia="Times New Roman" w:hAnsi="Times New Roman"/>
                <w:sz w:val="19"/>
                <w:szCs w:val="19"/>
                <w:color w:val="auto"/>
                <w:vertAlign w:val="superscript"/>
              </w:rPr>
              <w:t>(21)</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1,500,000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1,500,000​​​</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Fiduciary Trust as Custodian for The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Edward M. Giles ROTH IRA</w:t>
            </w:r>
            <w:r>
              <w:rPr>
                <w:rFonts w:ascii="Times New Roman" w:cs="Times New Roman" w:eastAsia="Times New Roman" w:hAnsi="Times New Roman"/>
                <w:sz w:val="19"/>
                <w:szCs w:val="19"/>
                <w:color w:val="auto"/>
                <w:vertAlign w:val="superscript"/>
              </w:rPr>
              <w:t>(22)</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30,304</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30,304​​​</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Flamingo Drive Partners LLC</w:t>
            </w:r>
            <w:r>
              <w:rPr>
                <w:rFonts w:ascii="Times New Roman" w:cs="Times New Roman" w:eastAsia="Times New Roman" w:hAnsi="Times New Roman"/>
                <w:sz w:val="19"/>
                <w:szCs w:val="19"/>
                <w:color w:val="auto"/>
                <w:vertAlign w:val="superscript"/>
              </w:rPr>
              <w:t>(23)</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55,881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55,881​​​</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Frangos Properties Group LLC</w:t>
            </w:r>
            <w:r>
              <w:rPr>
                <w:rFonts w:ascii="Times New Roman" w:cs="Times New Roman" w:eastAsia="Times New Roman" w:hAnsi="Times New Roman"/>
                <w:sz w:val="19"/>
                <w:szCs w:val="19"/>
                <w:color w:val="auto"/>
                <w:vertAlign w:val="superscript"/>
              </w:rPr>
              <w:t>(24)</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42,500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42,500​​​</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Frank H. Moore*</w:t>
            </w:r>
            <w:r>
              <w:rPr>
                <w:rFonts w:ascii="Times New Roman" w:cs="Times New Roman" w:eastAsia="Times New Roman" w:hAnsi="Times New Roman"/>
                <w:sz w:val="19"/>
                <w:szCs w:val="19"/>
                <w:color w:val="auto"/>
                <w:vertAlign w:val="superscript"/>
              </w:rPr>
              <w:t>(25)</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Garrett Paul Ederle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15,702</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6,371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15,702​​​</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Gavin A. Scotti, Jr.*</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588,128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563,128​​​</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25,000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Gavin A. Scotti, Sr.*</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50,506</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50,506​​​</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George F. Wood</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1,037,347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1,037,347​​​</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George Syrianoudis</w:t>
            </w:r>
            <w:r>
              <w:rPr>
                <w:rFonts w:ascii="Times New Roman" w:cs="Times New Roman" w:eastAsia="Times New Roman" w:hAnsi="Times New Roman"/>
                <w:sz w:val="19"/>
                <w:szCs w:val="19"/>
                <w:color w:val="auto"/>
                <w:vertAlign w:val="superscript"/>
              </w:rPr>
              <w:t>(66)</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61,605</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10,118​​​</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51,487</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Giles Family 2015 Trust UAD 12/16/15</w:t>
            </w:r>
            <w:r>
              <w:rPr>
                <w:rFonts w:ascii="Times New Roman" w:cs="Times New Roman" w:eastAsia="Times New Roman" w:hAnsi="Times New Roman"/>
                <w:sz w:val="19"/>
                <w:szCs w:val="19"/>
                <w:color w:val="auto"/>
                <w:vertAlign w:val="superscript"/>
              </w:rPr>
              <w:t>(17)</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197,949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197,949​​​</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Glenn Kunkel</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740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740​​​</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 Benjamin Samuels</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106,387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106,387​​​</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Han Solutions II LLC</w:t>
            </w:r>
            <w:r>
              <w:rPr>
                <w:rFonts w:ascii="Times New Roman" w:cs="Times New Roman" w:eastAsia="Times New Roman" w:hAnsi="Times New Roman"/>
                <w:sz w:val="19"/>
                <w:szCs w:val="19"/>
                <w:color w:val="auto"/>
                <w:vertAlign w:val="superscript"/>
              </w:rPr>
              <w:t>(26)</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20,662</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16,162​​​</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4,500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Henry Steeneck*</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42,795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42,795​​​</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Honus Group LLC</w:t>
            </w:r>
            <w:r>
              <w:rPr>
                <w:rFonts w:ascii="Times New Roman" w:cs="Times New Roman" w:eastAsia="Times New Roman" w:hAnsi="Times New Roman"/>
                <w:sz w:val="19"/>
                <w:szCs w:val="19"/>
                <w:color w:val="auto"/>
                <w:vertAlign w:val="superscript"/>
              </w:rPr>
              <w:t>(27)</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62,628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62,628​​​</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Howard W. Wilson</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10,101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Invader II LLC*</w:t>
            </w:r>
            <w:r>
              <w:rPr>
                <w:rFonts w:ascii="Times New Roman" w:cs="Times New Roman" w:eastAsia="Times New Roman" w:hAnsi="Times New Roman"/>
                <w:sz w:val="19"/>
                <w:szCs w:val="19"/>
                <w:color w:val="auto"/>
                <w:vertAlign w:val="superscript"/>
              </w:rPr>
              <w:t>(28)</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337,703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337,703​​​</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Jacob Cooper*</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8,918​​​</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James J. Dolan*</w:t>
            </w:r>
            <w:r>
              <w:rPr>
                <w:rFonts w:ascii="Times New Roman" w:cs="Times New Roman" w:eastAsia="Times New Roman" w:hAnsi="Times New Roman"/>
                <w:sz w:val="19"/>
                <w:szCs w:val="19"/>
                <w:color w:val="auto"/>
                <w:vertAlign w:val="superscript"/>
              </w:rPr>
              <w:t>(29)</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15,152</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15,152​​​</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Janice &amp; Michael Drake Trust UAD*</w:t>
            </w:r>
            <w:r>
              <w:rPr>
                <w:rFonts w:ascii="Times New Roman" w:cs="Times New Roman" w:eastAsia="Times New Roman" w:hAnsi="Times New Roman"/>
                <w:sz w:val="19"/>
                <w:szCs w:val="19"/>
                <w:color w:val="auto"/>
                <w:vertAlign w:val="superscript"/>
              </w:rPr>
              <w:t>(30)</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55,881​​​</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5,201</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Jeffrey Cook</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10,947</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10,947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10,947​​​</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Jeremy Samuels</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85,033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71,033​​​</w:t>
            </w:r>
            <w:r>
              <w:rPr>
                <w:rFonts w:ascii="Times New Roman" w:cs="Times New Roman" w:eastAsia="Times New Roman" w:hAnsi="Times New Roman"/>
                <w:sz w:val="16"/>
                <w:szCs w:val="16"/>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14,000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Ji Yeong Ruggiere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6,864</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6,864​​​</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-6124575</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-6124575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-6124575</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-6124575</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-6124575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-6124575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-6124575</wp:posOffset>
            </wp:positionV>
            <wp:extent cx="43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-6124575</wp:posOffset>
            </wp:positionV>
            <wp:extent cx="342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5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Warrants Beneficially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Stock After the</w:t>
            </w:r>
          </w:p>
        </w:tc>
        <w:tc>
          <w:tcPr>
            <w:tcW w:w="1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Owned After the Offered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Offered Shares of Class A</w:t>
            </w:r>
          </w:p>
        </w:tc>
        <w:tc>
          <w:tcPr>
            <w:tcW w:w="140" w:type="dxa"/>
            <w:vAlign w:val="bottom"/>
          </w:tcPr>
          <w:p>
            <w:pPr>
              <w:spacing w:after="0"/>
              <w:rPr>
                <w:sz w:val="14"/>
                <w:szCs w:val="14"/>
                <w:color w:val="auto"/>
              </w:rPr>
            </w:pPr>
          </w:p>
        </w:tc>
        <w:tc>
          <w:tcPr>
            <w:tcW w:w="144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68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Common Stock Are Sold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Are Sold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After the Offered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Prior</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Being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Being</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9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 Offering</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Offered</w:t>
            </w:r>
            <w:r>
              <w:rPr>
                <w:rFonts w:ascii="Times New Roman" w:cs="Times New Roman" w:eastAsia="Times New Roman" w:hAnsi="Times New Roman"/>
                <w:sz w:val="17"/>
                <w:szCs w:val="17"/>
                <w:b w:val="1"/>
                <w:bCs w:val="1"/>
                <w:color w:val="auto"/>
                <w:w w:val="93"/>
                <w:vertAlign w:val="superscript"/>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Are Sold</w:t>
            </w:r>
          </w:p>
        </w:tc>
        <w:tc>
          <w:tcPr>
            <w:tcW w:w="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John R. Tilson Trust UAD 06/03/19</w:t>
            </w:r>
            <w:r>
              <w:rPr>
                <w:rFonts w:ascii="Times New Roman" w:cs="Times New Roman" w:eastAsia="Times New Roman" w:hAnsi="Times New Roman"/>
                <w:sz w:val="19"/>
                <w:szCs w:val="19"/>
                <w:color w:val="auto"/>
                <w:vertAlign w:val="superscript"/>
              </w:rPr>
              <w:t>(31)</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41,513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41,513</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line="183" w:lineRule="exact"/>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rPr>
              <w:t>​ 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line="183" w:lineRule="exact"/>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John William Blaney*</w:t>
            </w:r>
            <w:r>
              <w:rPr>
                <w:rFonts w:ascii="Times New Roman" w:cs="Times New Roman" w:eastAsia="Times New Roman" w:hAnsi="Times New Roman"/>
                <w:sz w:val="19"/>
                <w:szCs w:val="19"/>
                <w:color w:val="auto"/>
                <w:vertAlign w:val="superscript"/>
              </w:rPr>
              <w:t>(32)</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7,358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2,335</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Gamberale*</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15,152​​​​</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Judith Hannaway</w:t>
            </w:r>
            <w:r>
              <w:rPr>
                <w:rFonts w:ascii="Times New Roman" w:cs="Times New Roman" w:eastAsia="Times New Roman" w:hAnsi="Times New Roman"/>
                <w:sz w:val="19"/>
                <w:szCs w:val="19"/>
                <w:color w:val="auto"/>
                <w:vertAlign w:val="superscript"/>
              </w:rPr>
              <w:t>(33)</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63,000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63,000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6"/>
                <w:szCs w:val="16"/>
                <w:color w:val="auto"/>
              </w:rPr>
              <w:t>Julio C. Rodriguez</w:t>
            </w:r>
            <w:r>
              <w:rPr>
                <w:rFonts w:ascii="Times New Roman" w:cs="Times New Roman" w:eastAsia="Times New Roman" w:hAnsi="Times New Roman"/>
                <w:sz w:val="19"/>
                <w:szCs w:val="19"/>
                <w:color w:val="auto"/>
                <w:vertAlign w:val="superscript"/>
              </w:rPr>
              <w:t>(34)</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558,862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​524,782</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Keith Feldman</w:t>
            </w:r>
            <w:r>
              <w:rPr>
                <w:rFonts w:ascii="Times New Roman" w:cs="Times New Roman" w:eastAsia="Times New Roman" w:hAnsi="Times New Roman"/>
                <w:sz w:val="19"/>
                <w:szCs w:val="19"/>
                <w:color w:val="auto"/>
                <w:vertAlign w:val="superscript"/>
              </w:rPr>
              <w:t>(35)</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234,645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91,613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234,645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91,613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M. Kleeman</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50,301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50,301​​​​</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Kelly Griffin</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121,540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117,965​​​​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3,575</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Kenneth Beckerman*</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Kyle Buchakjian</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Kyriakos Mihalitsis</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Laurence Zalk*</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Lawrence &amp; Susan Wilson JT TEN</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85,753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85,553​​​​</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Liang S. Wu</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6"/>
                <w:szCs w:val="16"/>
                <w:color w:val="auto"/>
              </w:rPr>
              <w:t>LWMM LLC</w:t>
            </w:r>
            <w:r>
              <w:rPr>
                <w:rFonts w:ascii="Times New Roman" w:cs="Times New Roman" w:eastAsia="Times New Roman" w:hAnsi="Times New Roman"/>
                <w:sz w:val="19"/>
                <w:szCs w:val="19"/>
                <w:color w:val="auto"/>
                <w:vertAlign w:val="superscript"/>
              </w:rPr>
              <w:t>(36)</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139,604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139,604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Manuel Z. Rios &amp; Gloria P Rios JT TEN</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81,578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81,578​​​​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 Lehmann</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95,152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15,152​​​​</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Margate Partners</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6"/>
                <w:szCs w:val="16"/>
                <w:color w:val="auto"/>
              </w:rPr>
              <w:t>Mark A. Walsh</w:t>
            </w:r>
            <w:r>
              <w:rPr>
                <w:rFonts w:ascii="Times New Roman" w:cs="Times New Roman" w:eastAsia="Times New Roman" w:hAnsi="Times New Roman"/>
                <w:sz w:val="19"/>
                <w:szCs w:val="19"/>
                <w:color w:val="auto"/>
                <w:vertAlign w:val="superscript"/>
              </w:rPr>
              <w:t>(37)</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649,667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16,917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649,667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16,917</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Mark G. Christiana</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72,439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72,439​​​​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6"/>
                <w:szCs w:val="16"/>
                <w:color w:val="auto"/>
              </w:rPr>
              <w:t>Marmatt LLC</w:t>
            </w:r>
            <w:r>
              <w:rPr>
                <w:rFonts w:ascii="Times New Roman" w:cs="Times New Roman" w:eastAsia="Times New Roman" w:hAnsi="Times New Roman"/>
                <w:sz w:val="19"/>
                <w:szCs w:val="19"/>
                <w:color w:val="auto"/>
                <w:vertAlign w:val="superscript"/>
              </w:rPr>
              <w:t>(38)</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53,427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4,200</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Martin Rucidlo</w:t>
            </w:r>
            <w:r>
              <w:rPr>
                <w:rFonts w:ascii="Times New Roman" w:cs="Times New Roman" w:eastAsia="Times New Roman" w:hAnsi="Times New Roman"/>
                <w:sz w:val="19"/>
                <w:szCs w:val="19"/>
                <w:color w:val="auto"/>
                <w:vertAlign w:val="superscript"/>
              </w:rPr>
              <w:t>(39)</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20,754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13,219</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Masood A. Bhatti</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66,751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66,751​​​​</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Medford Bragg</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162,269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162,269​​​​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6"/>
                <w:szCs w:val="16"/>
                <w:color w:val="auto"/>
              </w:rPr>
              <w:t>Melissa Leonard</w:t>
            </w:r>
            <w:r>
              <w:rPr>
                <w:rFonts w:ascii="Times New Roman" w:cs="Times New Roman" w:eastAsia="Times New Roman" w:hAnsi="Times New Roman"/>
                <w:sz w:val="19"/>
                <w:szCs w:val="19"/>
                <w:color w:val="auto"/>
                <w:vertAlign w:val="superscript"/>
              </w:rPr>
              <w:t>(40)</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156,651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34,046</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​122,605</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MGC Properties LLC</w:t>
            </w:r>
            <w:r>
              <w:rPr>
                <w:rFonts w:ascii="Times New Roman" w:cs="Times New Roman" w:eastAsia="Times New Roman" w:hAnsi="Times New Roman"/>
                <w:sz w:val="19"/>
                <w:szCs w:val="19"/>
                <w:color w:val="auto"/>
                <w:vertAlign w:val="superscript"/>
              </w:rPr>
              <w:t>(41)</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3,725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Michael &amp; Diane W. Gibbons JT TEN</w:t>
            </w:r>
            <w:r>
              <w:rPr>
                <w:rFonts w:ascii="Times New Roman" w:cs="Times New Roman" w:eastAsia="Times New Roman" w:hAnsi="Times New Roman"/>
                <w:sz w:val="19"/>
                <w:szCs w:val="19"/>
                <w:color w:val="auto"/>
                <w:vertAlign w:val="superscript"/>
              </w:rPr>
              <w:t>(42)</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282,342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282,342</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Michael D. Gates</w:t>
            </w:r>
            <w:r>
              <w:rPr>
                <w:rFonts w:ascii="Times New Roman" w:cs="Times New Roman" w:eastAsia="Times New Roman" w:hAnsi="Times New Roman"/>
                <w:sz w:val="19"/>
                <w:szCs w:val="19"/>
                <w:color w:val="auto"/>
                <w:vertAlign w:val="superscript"/>
              </w:rPr>
              <w:t>(43)</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18,320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8,219</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Franzese</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15,285​​​​</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Michael Kolodny Revocable Trust Dated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2/13/97</w:t>
            </w:r>
            <w:r>
              <w:rPr>
                <w:rFonts w:ascii="Times New Roman" w:cs="Times New Roman" w:eastAsia="Times New Roman" w:hAnsi="Times New Roman"/>
                <w:sz w:val="19"/>
                <w:szCs w:val="19"/>
                <w:color w:val="auto"/>
                <w:vertAlign w:val="superscript"/>
              </w:rPr>
              <w:t>(44)</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5,010​​​</w:t>
            </w: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Randall</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29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Michael Solomon</w:t>
            </w:r>
            <w:r>
              <w:rPr>
                <w:rFonts w:ascii="Times New Roman" w:cs="Times New Roman" w:eastAsia="Times New Roman" w:hAnsi="Times New Roman"/>
                <w:sz w:val="19"/>
                <w:szCs w:val="19"/>
                <w:color w:val="auto"/>
                <w:vertAlign w:val="superscript"/>
              </w:rPr>
              <w:t>(45)</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1,112,000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1,000,000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​112,000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T. Drake</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9,054​​​​</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5,405</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29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Mickey W. Kowitz</w:t>
            </w:r>
            <w:r>
              <w:rPr>
                <w:rFonts w:ascii="Times New Roman" w:cs="Times New Roman" w:eastAsia="Times New Roman" w:hAnsi="Times New Roman"/>
                <w:sz w:val="19"/>
                <w:szCs w:val="19"/>
                <w:color w:val="auto"/>
                <w:vertAlign w:val="superscript"/>
              </w:rPr>
              <w:t>(46)</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10,060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620" w:type="dxa"/>
            <w:vAlign w:val="bottom"/>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Mildred Martha Mario Exempt Trust</w:t>
            </w:r>
            <w:r>
              <w:rPr>
                <w:rFonts w:ascii="Times New Roman" w:cs="Times New Roman" w:eastAsia="Times New Roman" w:hAnsi="Times New Roman"/>
                <w:sz w:val="19"/>
                <w:szCs w:val="19"/>
                <w:color w:val="auto"/>
                <w:vertAlign w:val="superscript"/>
              </w:rPr>
              <w:t>(47)</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6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60" w:type="dxa"/>
            <w:vAlign w:val="bottom"/>
            <w:shd w:val="clear" w:color="auto" w:fill="CCEEFF"/>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60" w:type="dxa"/>
            <w:vAlign w:val="bottom"/>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Mildred Martha Mario Nonelective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940" w:type="dxa"/>
            <w:vAlign w:val="bottom"/>
          </w:tcPr>
          <w:p>
            <w:pPr>
              <w:ind w:left="160"/>
              <w:spacing w:after="0"/>
              <w:rPr>
                <w:sz w:val="20"/>
                <w:szCs w:val="20"/>
                <w:color w:val="auto"/>
              </w:rPr>
            </w:pPr>
            <w:r>
              <w:rPr>
                <w:rFonts w:ascii="Times New Roman" w:cs="Times New Roman" w:eastAsia="Times New Roman" w:hAnsi="Times New Roman"/>
                <w:sz w:val="32"/>
                <w:szCs w:val="32"/>
                <w:color w:val="auto"/>
                <w:vertAlign w:val="subscript"/>
              </w:rPr>
              <w:t>Trust</w:t>
            </w:r>
            <w:r>
              <w:rPr>
                <w:rFonts w:ascii="Times New Roman" w:cs="Times New Roman" w:eastAsia="Times New Roman" w:hAnsi="Times New Roman"/>
                <w:sz w:val="10"/>
                <w:szCs w:val="10"/>
                <w:color w:val="auto"/>
              </w:rPr>
              <w:t>(47)</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79,490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79,490​​​​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-6200140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-6200140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-6200140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-6200140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-6200140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-6200140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-6200140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-6200140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r>
      <w:tr>
        <w:trPr>
          <w:trHeight w:val="162"/>
        </w:trPr>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Warrants Beneficially</w:t>
            </w:r>
          </w:p>
        </w:tc>
      </w:tr>
      <w:tr>
        <w:trPr>
          <w:trHeight w:val="162"/>
        </w:trPr>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Stock After the</w:t>
            </w: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Owned After the Offered</w:t>
            </w:r>
          </w:p>
        </w:tc>
      </w:tr>
      <w:tr>
        <w:trPr>
          <w:trHeight w:val="162"/>
        </w:trPr>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Offered Shares of Class A</w:t>
            </w: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r>
      <w:tr>
        <w:trPr>
          <w:trHeight w:val="214"/>
        </w:trPr>
        <w:tc>
          <w:tcPr>
            <w:tcW w:w="1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 ​​</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2"/>
          </w:tcPr>
          <w:p>
            <w:pPr>
              <w:ind w:left="3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Common Stock Are Sold</w:t>
            </w:r>
          </w:p>
        </w:tc>
        <w:tc>
          <w:tcPr>
            <w:tcW w:w="162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Warrants Are Sold   </w:t>
            </w:r>
            <w:r>
              <w:rPr>
                <w:rFonts w:ascii="Times New Roman" w:cs="Times New Roman" w:eastAsia="Times New Roman" w:hAnsi="Times New Roman"/>
                <w:sz w:val="24"/>
                <w:szCs w:val="24"/>
                <w:b w:val="1"/>
                <w:bCs w:val="1"/>
                <w:color w:val="auto"/>
                <w:vertAlign w:val="subscript"/>
              </w:rPr>
              <w:t>​</w:t>
            </w:r>
          </w:p>
        </w:tc>
      </w:tr>
      <w:tr>
        <w:trPr>
          <w:trHeight w:val="20"/>
        </w:trPr>
        <w:tc>
          <w:tcPr>
            <w:tcW w:w="1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After the Offered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Prior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Being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Being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20" w:type="dxa"/>
            <w:vAlign w:val="bottom"/>
          </w:tcPr>
          <w:p>
            <w:pPr>
              <w:spacing w:after="0"/>
              <w:rPr>
                <w:sz w:val="18"/>
                <w:szCs w:val="18"/>
                <w:color w:val="auto"/>
              </w:rPr>
            </w:pPr>
          </w:p>
        </w:tc>
        <w:tc>
          <w:tcPr>
            <w:tcW w:w="8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 Offering</w:t>
            </w:r>
          </w:p>
        </w:tc>
        <w:tc>
          <w:tcPr>
            <w:tcW w:w="2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Offered</w:t>
            </w:r>
            <w:r>
              <w:rPr>
                <w:rFonts w:ascii="Times New Roman" w:cs="Times New Roman" w:eastAsia="Times New Roman" w:hAnsi="Times New Roman"/>
                <w:sz w:val="17"/>
                <w:szCs w:val="17"/>
                <w:b w:val="1"/>
                <w:bCs w:val="1"/>
                <w:color w:val="auto"/>
                <w:w w:val="93"/>
                <w:vertAlign w:val="superscript"/>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1"/>
              </w:rPr>
              <w:t>Are Sold</w:t>
            </w:r>
          </w:p>
        </w:tc>
        <w:tc>
          <w:tcPr>
            <w:tcW w:w="68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Mildred Martha Mario Nonexempt Trust,</w:t>
            </w: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86"/>
        </w:trPr>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Ernest Mario and Jeremy K. Mario, Co-</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Trustees</w:t>
            </w:r>
            <w:r>
              <w:rPr>
                <w:rFonts w:ascii="Times New Roman" w:cs="Times New Roman" w:eastAsia="Times New Roman" w:hAnsi="Times New Roman"/>
                <w:sz w:val="19"/>
                <w:szCs w:val="19"/>
                <w:color w:val="auto"/>
                <w:vertAlign w:val="superscript"/>
              </w:rPr>
              <w:t>(69)</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114,286</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114,286​​​</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Millie LLC</w:t>
            </w:r>
            <w:r>
              <w:rPr>
                <w:rFonts w:ascii="Times New Roman" w:cs="Times New Roman" w:eastAsia="Times New Roman" w:hAnsi="Times New Roman"/>
                <w:sz w:val="19"/>
                <w:szCs w:val="19"/>
                <w:color w:val="auto"/>
                <w:vertAlign w:val="superscript"/>
              </w:rPr>
              <w:t>(48)</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24,000</w:t>
            </w:r>
          </w:p>
        </w:tc>
        <w:tc>
          <w:tcPr>
            <w:tcW w:w="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24,000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Nancy Hu*</w:t>
            </w:r>
            <w:r>
              <w:rPr>
                <w:rFonts w:ascii="Times New Roman" w:cs="Times New Roman" w:eastAsia="Times New Roman" w:hAnsi="Times New Roman"/>
                <w:sz w:val="19"/>
                <w:szCs w:val="19"/>
                <w:color w:val="auto"/>
                <w:vertAlign w:val="superscript"/>
              </w:rPr>
              <w:t>(49)</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13,970</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13,970​​​</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New Era Capital Fund LP*</w:t>
            </w:r>
            <w:r>
              <w:rPr>
                <w:rFonts w:ascii="Times New Roman" w:cs="Times New Roman" w:eastAsia="Times New Roman" w:hAnsi="Times New Roman"/>
                <w:sz w:val="19"/>
                <w:szCs w:val="19"/>
                <w:color w:val="auto"/>
                <w:vertAlign w:val="superscript"/>
              </w:rPr>
              <w:t>(50)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101,013</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101,013​​​</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Norman Ravski*</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66,613</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66,613​​​</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Patricia Avery</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10,101</w:t>
            </w:r>
          </w:p>
        </w:tc>
        <w:tc>
          <w:tcPr>
            <w:tcW w:w="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10,101​​​</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&amp; Mary Ellen McCullough JT</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940" w:type="dxa"/>
            <w:vAlign w:val="bottom"/>
            <w:shd w:val="clear" w:color="auto" w:fill="CCEEFF"/>
          </w:tcPr>
          <w:p>
            <w:pPr>
              <w:ind w:left="160"/>
              <w:spacing w:after="0" w:line="233" w:lineRule="exact"/>
              <w:rPr>
                <w:sz w:val="20"/>
                <w:szCs w:val="20"/>
                <w:color w:val="auto"/>
              </w:rPr>
            </w:pPr>
            <w:r>
              <w:rPr>
                <w:rFonts w:ascii="Times New Roman" w:cs="Times New Roman" w:eastAsia="Times New Roman" w:hAnsi="Times New Roman"/>
                <w:sz w:val="27"/>
                <w:szCs w:val="27"/>
                <w:color w:val="auto"/>
                <w:vertAlign w:val="subscript"/>
              </w:rPr>
              <w:t>TEN</w:t>
            </w:r>
            <w:r>
              <w:rPr>
                <w:rFonts w:ascii="Times New Roman" w:cs="Times New Roman" w:eastAsia="Times New Roman" w:hAnsi="Times New Roman"/>
                <w:sz w:val="9"/>
                <w:szCs w:val="9"/>
                <w:color w:val="auto"/>
              </w:rPr>
              <w:t>(51)</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180,289</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179,664​​​</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625</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Paul A. McAlpine*</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48,142</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48,142​​​</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Payton Gutting</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Phil Richard Schmidt*</w:t>
            </w:r>
            <w:r>
              <w:rPr>
                <w:rFonts w:ascii="Times New Roman" w:cs="Times New Roman" w:eastAsia="Times New Roman" w:hAnsi="Times New Roman"/>
                <w:sz w:val="19"/>
                <w:szCs w:val="19"/>
                <w:color w:val="auto"/>
                <w:vertAlign w:val="superscript"/>
              </w:rPr>
              <w:t>(52)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334,148</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9,366​​​</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​324,782</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Primary Investments LLC*</w:t>
            </w:r>
            <w:r>
              <w:rPr>
                <w:rFonts w:ascii="Times New Roman" w:cs="Times New Roman" w:eastAsia="Times New Roman" w:hAnsi="Times New Roman"/>
                <w:sz w:val="19"/>
                <w:szCs w:val="19"/>
                <w:color w:val="auto"/>
                <w:vertAlign w:val="superscript"/>
              </w:rPr>
              <w:t>(53)</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50,506</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50,506​​​</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Randall L. &amp; Noreen Cochran JT TEN</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20,000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Reuben Taub*</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30,115</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30,115​​​</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Ricky Solomon</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55,316</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55,316​​​</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Riverview Group LLC*</w:t>
            </w:r>
            <w:r>
              <w:rPr>
                <w:rFonts w:ascii="Times New Roman" w:cs="Times New Roman" w:eastAsia="Times New Roman" w:hAnsi="Times New Roman"/>
                <w:sz w:val="19"/>
                <w:szCs w:val="19"/>
                <w:color w:val="auto"/>
                <w:vertAlign w:val="superscript"/>
              </w:rPr>
              <w:t>(54)</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800,000</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Robert &amp; Abigail A. Ruhlman JT TEN*</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141,198</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141,198​​​</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Berman*</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10,101</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Robert C. Eising</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13,301</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10,101​​​</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3,200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Coffey</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5,030</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Robert H. Chicoine Jr.</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71,664</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71,664​​​</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Kromer and Emily Berry*</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5,030</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Robert Tyler King</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13,633</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5,580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5,580​​​</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8,053</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Ronald Stepanovic</w:t>
            </w:r>
            <w:r>
              <w:rPr>
                <w:rFonts w:ascii="Times New Roman" w:cs="Times New Roman" w:eastAsia="Times New Roman" w:hAnsi="Times New Roman"/>
                <w:sz w:val="19"/>
                <w:szCs w:val="19"/>
                <w:color w:val="auto"/>
                <w:vertAlign w:val="superscript"/>
              </w:rPr>
              <w:t>(55)</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39,634</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39,634​​​</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ROTH IRA FBO Edward M. Giles</w:t>
            </w:r>
            <w:r>
              <w:rPr>
                <w:rFonts w:ascii="Times New Roman" w:cs="Times New Roman" w:eastAsia="Times New Roman" w:hAnsi="Times New Roman"/>
                <w:sz w:val="19"/>
                <w:szCs w:val="19"/>
                <w:color w:val="auto"/>
                <w:vertAlign w:val="superscript"/>
              </w:rPr>
              <w:t>(56)</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167,645</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167,645​​​</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ROTH IRA FBO George F. Wood</w:t>
            </w:r>
            <w:r>
              <w:rPr>
                <w:rFonts w:ascii="Times New Roman" w:cs="Times New Roman" w:eastAsia="Times New Roman" w:hAnsi="Times New Roman"/>
                <w:sz w:val="19"/>
                <w:szCs w:val="19"/>
                <w:color w:val="auto"/>
                <w:vertAlign w:val="superscript"/>
              </w:rPr>
              <w:t>(57)</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40,910</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40,910​​​</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Ryan Schnepf</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33,326</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3,487</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33,326​​​</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Samuel Staggers</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Samuels 2012 Children’s Trust</w:t>
            </w:r>
            <w:r>
              <w:rPr>
                <w:rFonts w:ascii="Times New Roman" w:cs="Times New Roman" w:eastAsia="Times New Roman" w:hAnsi="Times New Roman"/>
                <w:sz w:val="19"/>
                <w:szCs w:val="19"/>
                <w:color w:val="auto"/>
                <w:vertAlign w:val="superscript"/>
              </w:rPr>
              <w:t>(58)</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50,506</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50,506​​​</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Scherlis Family LLC</w:t>
            </w:r>
            <w:r>
              <w:rPr>
                <w:rFonts w:ascii="Times New Roman" w:cs="Times New Roman" w:eastAsia="Times New Roman" w:hAnsi="Times New Roman"/>
                <w:sz w:val="19"/>
                <w:szCs w:val="19"/>
                <w:color w:val="auto"/>
                <w:vertAlign w:val="superscript"/>
              </w:rPr>
              <w:t>(59)</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109,605</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99,605​​​</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Scott Dols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168,851</w:t>
            </w:r>
          </w:p>
        </w:tc>
        <w:tc>
          <w:tcPr>
            <w:tcW w:w="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168,851​​​</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Seth A. Zimmerman</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SFL SPV I LLC*</w:t>
            </w:r>
            <w:r>
              <w:rPr>
                <w:rFonts w:ascii="Times New Roman" w:cs="Times New Roman" w:eastAsia="Times New Roman" w:hAnsi="Times New Roman"/>
                <w:sz w:val="19"/>
                <w:szCs w:val="19"/>
                <w:color w:val="auto"/>
                <w:vertAlign w:val="superscript"/>
              </w:rPr>
              <w:t>(8)</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81,818</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81,818​​​</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Solfin Corporation*</w:t>
            </w:r>
            <w:r>
              <w:rPr>
                <w:rFonts w:ascii="Times New Roman" w:cs="Times New Roman" w:eastAsia="Times New Roman" w:hAnsi="Times New Roman"/>
                <w:sz w:val="19"/>
                <w:szCs w:val="19"/>
                <w:color w:val="auto"/>
                <w:vertAlign w:val="superscript"/>
              </w:rPr>
              <w:t>(60)</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27,940</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27,940​​​</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Stephen Baksa</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603,857</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603,857​​​</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Drees</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65,928</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65,928​​​</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4"/>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Stephen J. Schaefer</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998,096</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555,854​​​</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​442,242</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-6193155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-6193155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-6193155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-6193155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-6193155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-6193155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-6193155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-6193155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r>
      <w:tr>
        <w:trPr>
          <w:trHeight w:val="162"/>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Warrants Beneficially</w:t>
            </w:r>
          </w:p>
        </w:tc>
      </w:tr>
      <w:tr>
        <w:trPr>
          <w:trHeight w:val="162"/>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Stock After the</w:t>
            </w: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Owned After the Offered</w:t>
            </w:r>
          </w:p>
        </w:tc>
      </w:tr>
      <w:tr>
        <w:trPr>
          <w:trHeight w:val="162"/>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 Shares of Class A</w:t>
            </w:r>
          </w:p>
        </w:tc>
        <w:tc>
          <w:tcPr>
            <w:tcW w:w="8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 ​</w:t>
            </w:r>
          </w:p>
        </w:tc>
        <w:tc>
          <w:tcPr>
            <w:tcW w:w="8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gridSpan w:val="2"/>
          </w:tcPr>
          <w:p>
            <w:pPr>
              <w:ind w:left="3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Common Stock Are Sold</w:t>
            </w:r>
          </w:p>
        </w:tc>
        <w:tc>
          <w:tcPr>
            <w:tcW w:w="162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Warrants Are Sold   </w:t>
            </w:r>
            <w:r>
              <w:rPr>
                <w:rFonts w:ascii="Times New Roman" w:cs="Times New Roman" w:eastAsia="Times New Roman" w:hAnsi="Times New Roman"/>
                <w:sz w:val="24"/>
                <w:szCs w:val="24"/>
                <w:b w:val="1"/>
                <w:bCs w:val="1"/>
                <w:color w:val="auto"/>
                <w:vertAlign w:val="subscript"/>
              </w:rPr>
              <w:t>​</w:t>
            </w:r>
          </w:p>
        </w:tc>
      </w:tr>
      <w:tr>
        <w:trPr>
          <w:trHeight w:val="20"/>
        </w:trPr>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Placement</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After the Offered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Prior</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Being</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Being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0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 Offering</w:t>
            </w:r>
          </w:p>
        </w:tc>
        <w:tc>
          <w:tcPr>
            <w:tcW w:w="9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 Offering</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w:t>
            </w:r>
            <w:r>
              <w:rPr>
                <w:rFonts w:ascii="Times New Roman" w:cs="Times New Roman" w:eastAsia="Times New Roman" w:hAnsi="Times New Roman"/>
                <w:sz w:val="15"/>
                <w:szCs w:val="15"/>
                <w:b w:val="1"/>
                <w:bCs w:val="1"/>
                <w:color w:val="auto"/>
                <w:vertAlign w:val="superscript"/>
              </w:rPr>
              <w:t>(1)</w:t>
            </w:r>
          </w:p>
        </w:tc>
        <w:tc>
          <w:tcPr>
            <w:tcW w:w="86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  </w:t>
            </w:r>
            <w:r>
              <w:rPr>
                <w:rFonts w:ascii="Times New Roman" w:cs="Times New Roman" w:eastAsia="Times New Roman" w:hAnsi="Times New Roman"/>
                <w:sz w:val="24"/>
                <w:szCs w:val="24"/>
                <w:b w:val="1"/>
                <w:bCs w:val="1"/>
                <w:color w:val="auto"/>
                <w:vertAlign w:val="subscript"/>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Are Sold</w:t>
            </w:r>
          </w:p>
        </w:tc>
        <w:tc>
          <w:tcPr>
            <w:tcW w:w="218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Number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  </w:t>
            </w:r>
            <w:r>
              <w:rPr>
                <w:rFonts w:ascii="Times New Roman" w:cs="Times New Roman" w:eastAsia="Times New Roman" w:hAnsi="Times New Roman"/>
                <w:sz w:val="24"/>
                <w:szCs w:val="24"/>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-7620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-7620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-7620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-7620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-7620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20" w:space="720"/>
            <w:col w:w="6820"/>
          </w:cols>
          <w:pgMar w:left="580" w:top="97" w:right="1059" w:bottom="1440" w:gutter="0" w:footer="0" w:header="0"/>
        </w:sectPr>
      </w:pPr>
    </w:p>
    <w:tbl>
      <w:tblPr>
        <w:tblLayout w:type="fixed"/>
        <w:tblInd w:w="500" w:type="dxa"/>
        <w:tblCellMar>
          <w:top w:w="0" w:type="dxa"/>
          <w:left w:w="0" w:type="dxa"/>
          <w:bottom w:w="0" w:type="dxa"/>
          <w:right w:w="0" w:type="dxa"/>
        </w:tblCellMar>
      </w:tblPr>
      <w:tr>
        <w:trPr>
          <w:trHeight w:val="223"/>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Maffei*</w:t>
            </w:r>
          </w:p>
        </w:tc>
        <w:tc>
          <w:tcPr>
            <w:tcW w:w="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13,970</w:t>
            </w:r>
          </w:p>
        </w:tc>
        <w:tc>
          <w:tcPr>
            <w:tcW w:w="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13,970​​​</w:t>
            </w:r>
            <w:r>
              <w:rPr>
                <w:rFonts w:ascii="Times New Roman" w:cs="Times New Roman" w:eastAsia="Times New Roman" w:hAnsi="Times New Roman"/>
                <w:sz w:val="16"/>
                <w:szCs w:val="16"/>
                <w:b w:val="1"/>
                <w:bCs w:val="1"/>
                <w:color w:val="auto"/>
              </w:rPr>
              <w:t>​</w:t>
            </w:r>
          </w:p>
        </w:tc>
        <w:tc>
          <w:tcPr>
            <w:tcW w:w="7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Stephen S. Burns</w:t>
            </w:r>
            <w:r>
              <w:rPr>
                <w:rFonts w:ascii="Times New Roman" w:cs="Times New Roman" w:eastAsia="Times New Roman" w:hAnsi="Times New Roman"/>
                <w:sz w:val="19"/>
                <w:szCs w:val="19"/>
                <w:color w:val="auto"/>
                <w:vertAlign w:val="superscript"/>
              </w:rPr>
              <w:t>(61)</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35,362,745</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35,362,745​​​</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Berkowitz*</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70,148</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70,148​​​</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Steven Struhl</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13,970​​​</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17,970</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Superius Securities Group Inc. Profit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Sharing Plan*</w:t>
            </w:r>
            <w:r>
              <w:rPr>
                <w:rFonts w:ascii="Times New Roman" w:cs="Times New Roman" w:eastAsia="Times New Roman" w:hAnsi="Times New Roman"/>
                <w:sz w:val="19"/>
                <w:szCs w:val="19"/>
                <w:color w:val="auto"/>
                <w:vertAlign w:val="superscript"/>
              </w:rPr>
              <w:t>(62)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50,239</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50,239​​​</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Ted Cooper</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118,270</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88,770​​​</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29,500</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Thaddeus M. Bort</w:t>
            </w:r>
            <w:r>
              <w:rPr>
                <w:rFonts w:ascii="Times New Roman" w:cs="Times New Roman" w:eastAsia="Times New Roman" w:hAnsi="Times New Roman"/>
                <w:sz w:val="19"/>
                <w:szCs w:val="19"/>
                <w:color w:val="auto"/>
                <w:vertAlign w:val="superscript"/>
              </w:rPr>
              <w:t>(63)</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The Monte R. Black Trust AGM DTD</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9/17/2008 As Amended</w:t>
            </w:r>
            <w:r>
              <w:rPr>
                <w:rFonts w:ascii="Times New Roman" w:cs="Times New Roman" w:eastAsia="Times New Roman" w:hAnsi="Times New Roman"/>
                <w:sz w:val="19"/>
                <w:szCs w:val="19"/>
                <w:color w:val="auto"/>
                <w:vertAlign w:val="superscript"/>
              </w:rPr>
              <w:t>(64)</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86,176</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84,626​​​</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T. George</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Thomas Wolfe</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57,125</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56,512​​​</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Troutman Family LP</w:t>
            </w:r>
            <w:r>
              <w:rPr>
                <w:rFonts w:ascii="Times New Roman" w:cs="Times New Roman" w:eastAsia="Times New Roman" w:hAnsi="Times New Roman"/>
                <w:sz w:val="19"/>
                <w:szCs w:val="19"/>
                <w:color w:val="auto"/>
                <w:vertAlign w:val="superscript"/>
              </w:rPr>
              <w:t>(65)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Vark Investments LLC</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1,278,134</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1,278,134​​​</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16,918​​​</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Vincent &amp; Thomas Iannelli TEN COM</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48,430</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48,430​​​</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William B. Summers Jr.</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55,881</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55,881​​​</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Zachary L. Ring</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Zachary M. Guy</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40,514</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40,514</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40,514​​​</w:t>
            </w: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40,514​​​</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Zuo Xiang</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35,354</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35,354​​​</w:t>
            </w: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0"/>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63,716,027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2,276,464</w:t>
            </w:r>
          </w:p>
        </w:tc>
        <w:tc>
          <w:tcPr>
            <w:tcW w:w="18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60,700,926​​​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2,276,464​​​</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2,801,221​</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1.43%​​​</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140970</wp:posOffset>
            </wp:positionV>
            <wp:extent cx="123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620" w:hanging="36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of November 30, 2020.</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Represents beneficial ownership of less than 1%.</w:t>
      </w:r>
    </w:p>
    <w:p>
      <w:pPr>
        <w:spacing w:after="0" w:line="158" w:lineRule="exact"/>
        <w:rPr>
          <w:sz w:val="20"/>
          <w:szCs w:val="20"/>
          <w:color w:val="auto"/>
        </w:rPr>
      </w:pPr>
    </w:p>
    <w:p>
      <w:pPr>
        <w:ind w:left="1620" w:right="960" w:hanging="360"/>
        <w:spacing w:after="0" w:line="26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are the number of shares of Class A common stock that may be offered by each Selling Securityholder, including the Warrant Shares. These amounts do not represent any other securities that the Selling Securityholder may own beneficially or otherwise.</w:t>
      </w:r>
    </w:p>
    <w:p>
      <w:pPr>
        <w:spacing w:after="0" w:line="12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 Thomas Adams is a Partner at Baker &amp; Hostetler LLP, which provides legal services to us.</w:t>
      </w:r>
    </w:p>
    <w:p>
      <w:pPr>
        <w:spacing w:after="0" w:line="157" w:lineRule="exact"/>
        <w:rPr>
          <w:rFonts w:ascii="Times New Roman" w:cs="Times New Roman" w:eastAsia="Times New Roman" w:hAnsi="Times New Roman"/>
          <w:sz w:val="18"/>
          <w:szCs w:val="18"/>
          <w:color w:val="auto"/>
        </w:rPr>
      </w:pPr>
    </w:p>
    <w:p>
      <w:pPr>
        <w:ind w:left="1620" w:right="920" w:hanging="360"/>
        <w:spacing w:after="0" w:line="25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Seaport Global Asset Management, LLC (“SGAM”) is the manager of AMFCO-4 LLC and Armory Fund, LP. Stephen Smith, is the Chief Executive Officer of SGAM. Mr. Smith and SGAM have voting control and investment discretion over the securities described herein held by AMFCO-4 LLC and Armory Fund LP. As a result Mr. Smith and SGAM may be deemed to have beneficial ownership (as determined under S-17(d) the Exchange Act, as amended) of the securities described herein held by AMFCO-4 LLC and Armory Fund, LP.</w:t>
      </w:r>
    </w:p>
    <w:p>
      <w:pPr>
        <w:spacing w:after="0" w:line="133" w:lineRule="exact"/>
        <w:rPr>
          <w:rFonts w:ascii="Times New Roman" w:cs="Times New Roman" w:eastAsia="Times New Roman" w:hAnsi="Times New Roman"/>
          <w:sz w:val="18"/>
          <w:szCs w:val="18"/>
          <w:color w:val="auto"/>
        </w:rPr>
      </w:pPr>
    </w:p>
    <w:p>
      <w:pPr>
        <w:ind w:left="1620" w:right="1160"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Richardson served as our independent director prior to the Closing and received his shares from the Sponsor.</w:t>
      </w:r>
    </w:p>
    <w:p>
      <w:pPr>
        <w:spacing w:after="0" w:line="107" w:lineRule="exact"/>
        <w:rPr>
          <w:rFonts w:ascii="Times New Roman" w:cs="Times New Roman" w:eastAsia="Times New Roman" w:hAnsi="Times New Roman"/>
          <w:sz w:val="18"/>
          <w:szCs w:val="18"/>
          <w:color w:val="auto"/>
        </w:rPr>
      </w:pPr>
    </w:p>
    <w:p>
      <w:pPr>
        <w:ind w:left="1620" w:right="1160"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266,971 shares of Class A common stock acquired from the Sponsor, 524,851 shares of Class A common stock and 202,933 shares of Class A common stock underlying Private Placement</w:t>
      </w:r>
    </w:p>
    <w:p>
      <w:pPr>
        <w:spacing w:after="0" w:line="3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82" w:lineRule="auto"/>
        <w:rPr>
          <w:sz w:val="20"/>
          <w:szCs w:val="20"/>
          <w:color w:val="auto"/>
        </w:rPr>
      </w:pPr>
      <w:r>
        <w:rPr>
          <w:rFonts w:ascii="Times New Roman" w:cs="Times New Roman" w:eastAsia="Times New Roman" w:hAnsi="Times New Roman"/>
          <w:sz w:val="18"/>
          <w:szCs w:val="18"/>
          <w:color w:val="auto"/>
        </w:rPr>
        <w:t>Warrants. David Hamamoto does not have voting or investment power with respect to these securities and is not a beneficial owner of these securities.</w:t>
      </w:r>
    </w:p>
    <w:p>
      <w:pPr>
        <w:spacing w:after="0" w:line="81" w:lineRule="exact"/>
        <w:rPr>
          <w:sz w:val="20"/>
          <w:szCs w:val="20"/>
          <w:color w:val="auto"/>
        </w:rPr>
      </w:pPr>
    </w:p>
    <w:p>
      <w:pPr>
        <w:jc w:val="both"/>
        <w:ind w:left="1620" w:right="699" w:hanging="360"/>
        <w:spacing w:after="0" w:line="275"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 shares held by Andrew Drazic and 2,000 shares held by John Drazic. Andrew Drazic and John Drazic are each deemed to have power to vote or dispose of the reported securities offered hereby.</w:t>
      </w:r>
    </w:p>
    <w:p>
      <w:pPr>
        <w:spacing w:after="0" w:line="308"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Victor &amp; Barbara G. Samuels JT TEN transferred 83,822 Class A common shares to Barbara G. Samuels.</w:t>
      </w:r>
    </w:p>
    <w:p>
      <w:pPr>
        <w:spacing w:after="0" w:line="94"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Krista Librett, Operations Manager of Monashee Investment Management, LLC, is deemed to have power to vote or dispose of the reported securities offered hereby.</w:t>
      </w:r>
    </w:p>
    <w:p>
      <w:pPr>
        <w:spacing w:after="0" w:line="80"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Blackwell, Dennis Blackwell, Christopher Blackwell, Patrick Blackwell, and Desiree Gress are each deemed to have power to vote or dispose of the reported securities offered hereby.</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J. Becker, Jr.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E. Gibbons, John R. Tilson and other members of the BGL executive committee may be deemed to share the power to vote or dispose of the reported securities offered hereby. BGL’s sister company, BGL Securities, is a registered broker-dealer that served as financial advisor to Legacy Lordstown. BGL received the BGL Warrants as designee of BGL Securities, as partial consideration for such services as financial advisor.</w:t>
      </w:r>
    </w:p>
    <w:p>
      <w:pPr>
        <w:spacing w:after="0" w:line="115"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Chuan D. (John) Vo is our former Vice President of Propulsion. Includes 226,924 Class A common shares underlying options exercisable as of July 22, 2022.</w:t>
      </w:r>
    </w:p>
    <w:p>
      <w:pPr>
        <w:spacing w:after="0" w:line="80"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held by Mr. Hamamoto individually and by the David T. Hamamoto GRAT 2019 —  SPAC (the “GRAT”), a grantor retained annuity trust, of which Mr. Hamamoto is the trustee and sole annuitant of the GRAT. Mr. Hamamoto is our director and our former Chairman of the Board and Chief Executive Officer.</w:t>
      </w:r>
    </w:p>
    <w:p>
      <w:pPr>
        <w:spacing w:after="0" w:line="112"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Raffin, Bryan Clontz and Gary Snerson, as individual trustees of Dechomai Asset Trust, are each deemed to have power to vote or dispose of the reported securities offered hereby. Dechomai Foundation, Inc., as corporate trustee of Dechomai Asset Trust, also is deemed to have power to vote or dispose of the reported securities offered hereby.</w:t>
      </w:r>
    </w:p>
    <w:p>
      <w:pPr>
        <w:spacing w:after="0" w:line="98"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T. Hamamoto is deemed to have power to vote or dispose of the reported securities offered hereby. Mr. Hamamoto, our director and former Chairman of the Board and Chief Executive Officer, is the sole managing member of Diamond Head Partners.</w:t>
      </w:r>
    </w:p>
    <w:p>
      <w:pPr>
        <w:spacing w:after="0" w:line="10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Ptaszek is a Partner at Baker &amp; Hostetler LLP, which provides legal services to us.</w:t>
      </w:r>
    </w:p>
    <w:p>
      <w:pPr>
        <w:spacing w:after="0" w:line="144" w:lineRule="exact"/>
        <w:rPr>
          <w:rFonts w:ascii="Times New Roman" w:cs="Times New Roman" w:eastAsia="Times New Roman" w:hAnsi="Times New Roman"/>
          <w:sz w:val="18"/>
          <w:szCs w:val="18"/>
          <w:color w:val="auto"/>
        </w:rPr>
      </w:pPr>
    </w:p>
    <w:p>
      <w:pPr>
        <w:jc w:val="both"/>
        <w:ind w:left="1620" w:right="87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M. Giles and Zachary A. Wydra are each deemed to have power to vote or dispose of the reported securities offered hereby. Zachary A. Wydra is Chief Executive Officer of, and thus is an affiliate of, registered broker-dealer First Manhattan Co.</w:t>
      </w:r>
    </w:p>
    <w:p>
      <w:pPr>
        <w:spacing w:after="0" w:line="10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M. Giles is deemed to have power to vote or dispose of the reported securities offered hereby.</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J. Kassouf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right="89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Ernest Mario and Jeremy Mario are each deemed to have power to vote or dispose of the reported securities offered hereby.</w:t>
      </w:r>
    </w:p>
    <w:p>
      <w:pPr>
        <w:spacing w:after="0" w:line="94" w:lineRule="exact"/>
        <w:rPr>
          <w:rFonts w:ascii="Times New Roman" w:cs="Times New Roman" w:eastAsia="Times New Roman" w:hAnsi="Times New Roman"/>
          <w:sz w:val="18"/>
          <w:szCs w:val="18"/>
          <w:color w:val="auto"/>
        </w:rPr>
      </w:pPr>
    </w:p>
    <w:p>
      <w:pPr>
        <w:ind w:left="1620" w:right="479" w:hanging="360"/>
        <w:spacing w:after="0" w:line="255"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Securityholder, Federated Hermes Kaufmann Small Cap Fund, a portfolio of Federated Hermes Equity Funds, is managed by Federated Equity Management Company of Pennsylvania and subadvised by Federated Global Investment Management Corp., which are wholly owned subsidiaries of FII Holdings, Inc., which is a wholly owned subsidiary of Federated Hermes, Inc., or “the Parent.” All of the Parent’s outstanding voting stock is held in the Voting Shares Irrevocable Trust, or the “Trust,” for which Thomas R. Donahue, Rhodora J. Donahue and J. Christopher Donahue, who are collectively referred to as “Trustees,” act as trustees. The Parent’s subsidiaries have the power to direct the vote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7" w:lineRule="auto"/>
        <w:rPr>
          <w:sz w:val="20"/>
          <w:szCs w:val="20"/>
          <w:color w:val="auto"/>
        </w:rPr>
      </w:pPr>
      <w:r>
        <w:rPr>
          <w:rFonts w:ascii="Times New Roman" w:cs="Times New Roman" w:eastAsia="Times New Roman" w:hAnsi="Times New Roman"/>
          <w:sz w:val="18"/>
          <w:szCs w:val="18"/>
          <w:color w:val="auto"/>
        </w:rPr>
        <w:t>and disposition of the securities held by the Selling Securityholder. Each of the Parent, its subsidiaries, the Trust, and each of the Trustees, expressly disclaims beneficial ownership of such securities. The investment adviser of the Selling Securityholder is under common control with two registered broker-dealers, Federated Securities Corp. and Federated International Securities Corp. Each such broker-dealer is a limited purpose broker-dealer, the primary business of which is to distribute shares of pooled investment vehicles advised by affiliated investment advisers.</w:t>
      </w:r>
    </w:p>
    <w:p>
      <w:pPr>
        <w:spacing w:after="0" w:line="112" w:lineRule="exact"/>
        <w:rPr>
          <w:sz w:val="20"/>
          <w:szCs w:val="20"/>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M. Giles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Lehmann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right="61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Damon Frangos and Louis Grangos are each deemed to have power to vote or dispose of the reported securities offered hereby.</w:t>
      </w:r>
    </w:p>
    <w:p>
      <w:pPr>
        <w:spacing w:after="0" w:line="80"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H. Moore is a Financial Advisor at, and thus is an affiliate of, registered broker-dealer UBS Financial Services, Inc.</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Milone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right="53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H. Johnson, Patrick E. Mangin and Theodore H. Reich are each deemed to have power to vote or dispose of the reported securities offered hereby.</w:t>
      </w:r>
    </w:p>
    <w:p>
      <w:pPr>
        <w:spacing w:after="0" w:line="8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Dominc Audino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right="479" w:hanging="360"/>
        <w:spacing w:after="0" w:line="275"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J. Dolan is a director of PlanMember Financial Corp., which is the parent company of registered broker-dealer PlanMember Securities Corp, Carpentaria CA. He is also a FINRA registered representative.</w:t>
      </w:r>
    </w:p>
    <w:p>
      <w:pPr>
        <w:spacing w:after="0" w:line="322" w:lineRule="exact"/>
        <w:rPr>
          <w:rFonts w:ascii="Times New Roman" w:cs="Times New Roman" w:eastAsia="Times New Roman" w:hAnsi="Times New Roman"/>
          <w:sz w:val="18"/>
          <w:szCs w:val="18"/>
          <w:color w:val="auto"/>
        </w:rPr>
      </w:pPr>
    </w:p>
    <w:p>
      <w:pPr>
        <w:ind w:left="1620" w:right="109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T. Drake and Janice R. Drake are each deemed to have power to vote or dispose of the reported securities offered hereby.</w:t>
      </w:r>
    </w:p>
    <w:p>
      <w:pPr>
        <w:spacing w:after="0" w:line="8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R. Tilson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William Blaney is our employee.</w:t>
      </w:r>
    </w:p>
    <w:p>
      <w:pPr>
        <w:spacing w:after="0" w:line="144"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Judith Hannaway served as our independent director prior to the Closing and received her shares from the Sponsor.</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Julio C. Rodriguez is our former Chief Financial Officer.</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Feldman serves on our board of directors.</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Terrence P. Fergus is deemed to have power to vote or dispose of the reported securities offered hereby.</w:t>
      </w:r>
    </w:p>
    <w:p>
      <w:pPr>
        <w:spacing w:after="0" w:line="157"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A. Walsh served as our independent director prior to the Closing and received his shares from the Sponsor.</w:t>
      </w:r>
    </w:p>
    <w:p>
      <w:pPr>
        <w:spacing w:after="0" w:line="80" w:lineRule="exact"/>
        <w:rPr>
          <w:rFonts w:ascii="Times New Roman" w:cs="Times New Roman" w:eastAsia="Times New Roman" w:hAnsi="Times New Roman"/>
          <w:sz w:val="18"/>
          <w:szCs w:val="18"/>
          <w:color w:val="auto"/>
        </w:rPr>
      </w:pPr>
    </w:p>
    <w:p>
      <w:pPr>
        <w:ind w:left="1620" w:right="97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V. Milone is deemed to have power to vote or dispose of the reported securities offered hereby.</w:t>
      </w:r>
    </w:p>
    <w:p>
      <w:pPr>
        <w:spacing w:after="0" w:line="8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J. Rucidlo is a former member of our board of directors.</w:t>
      </w:r>
    </w:p>
    <w:p>
      <w:pPr>
        <w:spacing w:after="0" w:line="157" w:lineRule="exact"/>
        <w:rPr>
          <w:rFonts w:ascii="Times New Roman" w:cs="Times New Roman" w:eastAsia="Times New Roman" w:hAnsi="Times New Roman"/>
          <w:sz w:val="18"/>
          <w:szCs w:val="18"/>
          <w:color w:val="auto"/>
        </w:rPr>
      </w:pPr>
    </w:p>
    <w:p>
      <w:pPr>
        <w:ind w:left="1620" w:right="99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Melissa Leonard is our Executive Vice President, General Counsel &amp; Secretary. Includes 66,666 Class A common shares underlying options exercisable as of July 22, 2022.</w:t>
      </w:r>
    </w:p>
    <w:p>
      <w:pPr>
        <w:spacing w:after="0" w:line="8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Christiana is deemed to have power to vote or dispose of the reported securities offered hereby.</w:t>
      </w:r>
    </w:p>
    <w:p>
      <w:pPr>
        <w:spacing w:after="0" w:line="14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Gibbons is a shareholder of, and an affiliate of, registered broker-dealer Brown, Gibbons, Lang &amp; Company Securities, Inc., which served as financial advisor to Legacy Lordstown.</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D. Gates is a former member of our board of directors.</w:t>
      </w:r>
    </w:p>
    <w:p>
      <w:pPr>
        <w:spacing w:after="0" w:line="144"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Kolodny, as trustee, is deemed to have power to vote or dispose of the reported securities offered hereby.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Solomon is a FINRA registered representative associated with Maxim Group LLC.</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Mickey W. Kowitz served on our board of directors.</w:t>
      </w:r>
    </w:p>
    <w:p>
      <w:pPr>
        <w:spacing w:after="0" w:line="171" w:lineRule="exact"/>
        <w:rPr>
          <w:rFonts w:ascii="Times New Roman" w:cs="Times New Roman" w:eastAsia="Times New Roman" w:hAnsi="Times New Roman"/>
          <w:sz w:val="18"/>
          <w:szCs w:val="18"/>
          <w:color w:val="auto"/>
        </w:rPr>
      </w:pPr>
    </w:p>
    <w:p>
      <w:pPr>
        <w:ind w:left="1620" w:right="89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Ernest Mario and Jeremy Mario are each deemed to have power to vote or dispose of the reported securities offered hereby.</w:t>
      </w:r>
    </w:p>
    <w:p>
      <w:pPr>
        <w:spacing w:after="0" w:line="94"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Edward Jackson, Robert Drew Jackson and Christopher Jason Wollman are each deemed to have power to vote or dispose of the reported securities offered hereby.</w:t>
      </w:r>
    </w:p>
    <w:p>
      <w:pPr>
        <w:spacing w:after="0" w:line="107"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Nancy Hu works as a consultant for, and thus is an affiliate of, registered broker-dealer First Manhattan Co.</w:t>
      </w:r>
    </w:p>
    <w:p>
      <w:pPr>
        <w:spacing w:after="0" w:line="36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Joe Lukens is deemed to have power to vote or dispose of the reported securities offered hereby.</w:t>
      </w:r>
    </w:p>
    <w:p>
      <w:pPr>
        <w:spacing w:after="0" w:line="171" w:lineRule="exact"/>
        <w:rPr>
          <w:rFonts w:ascii="Times New Roman" w:cs="Times New Roman" w:eastAsia="Times New Roman" w:hAnsi="Times New Roman"/>
          <w:sz w:val="18"/>
          <w:szCs w:val="18"/>
          <w:color w:val="auto"/>
        </w:rPr>
      </w:pPr>
    </w:p>
    <w:p>
      <w:pPr>
        <w:ind w:left="1620" w:right="95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 shares held individually by Mary Ellen McCullough and 125 shares held by Patrick McCullough.</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 Richard (Rich) Schmidt is our former President.</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Gina Robins is deemed to have power to vote or dispose of the reported securities offered hereby.</w:t>
      </w:r>
    </w:p>
    <w:p>
      <w:pPr>
        <w:spacing w:after="0" w:line="171" w:lineRule="exact"/>
        <w:rPr>
          <w:rFonts w:ascii="Times New Roman" w:cs="Times New Roman" w:eastAsia="Times New Roman" w:hAnsi="Times New Roman"/>
          <w:sz w:val="18"/>
          <w:szCs w:val="18"/>
          <w:color w:val="auto"/>
        </w:rPr>
      </w:pPr>
    </w:p>
    <w:p>
      <w:pPr>
        <w:ind w:left="1620" w:right="459" w:hanging="360"/>
        <w:spacing w:after="0" w:line="263"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a Delaware limited liability company (“Millennium Management”), is the general partner of the managing member of Riverview Group LLC (“Riverview Group”) and may be deemed to have shared voting control and investment discretion over securities owned by Riverview Group.</w:t>
      </w:r>
    </w:p>
    <w:p>
      <w:pPr>
        <w:spacing w:after="0" w:line="34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Stepanovic is a Partner at Baker &amp; Hostetler LLP, which provides legal services to us.</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M. Giles is deemed to have power to vote or dispose of the reported securities offered hereby.</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F. Wood is deemed to have power to vote or dispose of the reported securities offered hereby.</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Samuels is deemed to have power to vote or dispose of the reported securities offered hereby.</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Morris Scherlis is deemed to have power to vote or dispose of the reported securities offered hereby.</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Solomon is deemed to have power to vote or dispose of the reported securities offered hereby.</w:t>
      </w:r>
    </w:p>
    <w:p>
      <w:pPr>
        <w:spacing w:after="0" w:line="171"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11, 2022, upon the termination of a grantor retained annuity trust, of which Mr. Burns, our former Chairman of the Board and former Chief Executive Officer, was the trustee and sole annuitant, 13,906,553 shares of Class A Common Stock were transferred to Mr. Burns and are held by him directly. Mr. Burns’ beneficial ownership information is from a Schedule 13D filed on March 3, 2022.</w:t>
      </w:r>
    </w:p>
    <w:p>
      <w:pPr>
        <w:spacing w:after="0" w:line="125" w:lineRule="exact"/>
        <w:rPr>
          <w:rFonts w:ascii="Times New Roman" w:cs="Times New Roman" w:eastAsia="Times New Roman" w:hAnsi="Times New Roman"/>
          <w:sz w:val="18"/>
          <w:szCs w:val="18"/>
          <w:color w:val="auto"/>
        </w:rPr>
      </w:pPr>
    </w:p>
    <w:p>
      <w:pPr>
        <w:ind w:left="1620" w:right="83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Hudgins and AC Hudgins are each deemed to have power to vote or dispose of the reported securities offered hereby.</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1,050 shares held jointly with his wife.</w:t>
      </w:r>
    </w:p>
    <w:p>
      <w:pPr>
        <w:spacing w:after="0" w:line="171"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1,550 shares of Class A Common Stock held by Susan K. Black. Monte R. Black and Susan K. Black, as co-trustees, are each deemed to have power to vote or dispose of the reported securities offered hereby.</w:t>
      </w:r>
    </w:p>
    <w:p>
      <w:pPr>
        <w:spacing w:after="0" w:line="12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Gina DiSanto is deemed to have power to vote or dispose of the reported securities offered hereby.</w:t>
      </w:r>
    </w:p>
    <w:p>
      <w:pPr>
        <w:spacing w:after="0" w:line="171" w:lineRule="exact"/>
        <w:rPr>
          <w:rFonts w:ascii="Times New Roman" w:cs="Times New Roman" w:eastAsia="Times New Roman" w:hAnsi="Times New Roman"/>
          <w:sz w:val="18"/>
          <w:szCs w:val="18"/>
          <w:color w:val="auto"/>
        </w:rPr>
      </w:pPr>
    </w:p>
    <w:p>
      <w:pPr>
        <w:ind w:left="1620" w:right="89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Syrianoudis is our employee. Includes 12,500 Class A common shares underlying options exercisable as of July 22, 2022 and 38,987 Restricted Stock Units.</w:t>
      </w:r>
    </w:p>
    <w:p>
      <w:pPr>
        <w:spacing w:after="0" w:line="107"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Ernest Mario transferred 114,286 Class A common shares to the Mildred Martha Mario Nonexempt Trust, Ernest Mario and Jeremy K. Mario, Co-Trustees.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are registering the issuance by us of up to an aggregate of up to 2,276,464 shares of our Class A common stock that are issuable upon the exercise of the Private Placement Warrants by the holders thereof. We are also registering the resale by the Selling Securityholders or their permitted transferees from time to time of (i) up to 60,700,926 shares of Class A common stock (including up to 3,925,953 shares of Class A common stock that may be issued upon exercise of the Private Placement Warrants and BGL Warrants) and (ii) up to 2,276,464 Private Placement Warrants.</w:t>
      </w:r>
    </w:p>
    <w:p>
      <w:pPr>
        <w:spacing w:after="0" w:line="12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shares of our Class A common stock and Private Placement Warrants to be offered and sold pursuant to this prospectus. The Selling Securityholders will bear all commissions and discounts, if any, attributable to their sale of shares of our Class A common stock or Private Placement Warrants.</w:t>
      </w:r>
    </w:p>
    <w:p>
      <w:pPr>
        <w:spacing w:after="0" w:line="99"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shares of Class A common stock and Private Placement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shares of Class A common stock or Private Placement Warrants by one or more of, or a combination of, the following methods:</w:t>
      </w:r>
    </w:p>
    <w:p>
      <w:pPr>
        <w:spacing w:after="0" w:line="86" w:lineRule="exact"/>
        <w:rPr>
          <w:sz w:val="20"/>
          <w:szCs w:val="20"/>
          <w:color w:val="auto"/>
        </w:rPr>
      </w:pPr>
    </w:p>
    <w:p>
      <w:pPr>
        <w:ind w:left="1800" w:right="9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 Stock Market;</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our securities in the course of hedging the positions they assume with Selling Securityholders. The Selling Securityholders may also sell our securities short and redeliver the shares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2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an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securities, and may use securities received from any Selling Securityholder in settlement of those derivatives to close out any related open borrowings of securities. If applicable through securities laws,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0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33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American Stock Transfer &amp; Trust Company, the certificate evidencing such Warrant, with the form of election to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relating to the ownership and disposition of our Class A common stock and Warrants. The discussion is based on the Internal Revenue Code of 1986, as amended (the “Code”), Treasury regulations, judicial decisions, published positions of the Internal Revenue Service (the “IRS”) and other applicable authorities, all as in effect as of the date hereof and all of which are subject to change or differing interpretations (possibly with retroactive effect). We have not requested, and will not request, a ruling from the IRS with respect to any of the U.S. federal income tax considerations described below, and as a result there can be no assurance that the IRS will not disagree with or successfully challenge any of the conclusions we have reached and that are described herein.</w:t>
      </w:r>
    </w:p>
    <w:p>
      <w:pPr>
        <w:spacing w:after="0" w:line="32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This discussion deals only with beneficial owners that hold the Class A common stock or Warrants (as the case may be) as capital assets within the meaning of Section 1221 of the Code (generally, property held for investment). Moreover, this discussion is for general information only and does not address all of the U.S. federal income tax consequences that may be relevant to particular investors in light of their personal circumstances or to certain types of investors subject to special tax rules (such as U.S. holders (as defined below) having a functional currency other than the U.S. dollar, former citizens and residents of the United States, individual retirement accounts or other tax deferred accounts, banks or other financial institutions, persons subject to the alternative minimum tax, grantor trusts, real estate investment trusts, insurance companies, tax-exempt entities or organizations, partnerships or other pass-through entities or arrangements for U.S. federal income tax purposes and investors therein, dealers in securities or currencies, traders in securities that elect to use a mark- to-market method of accounting for their securities holdings, persons holding Class A common stock or Warrants in connection with a hedging transaction, straddle, conversion transaction or other integrated transaction, taxpayers required to recognize income with respect to the Class A common stock or Warrants for U.S. federal income tax purposes no later than when such income is taken into account in applicable financial statements, corporations treated as personal holding companies, U.S. holders who hold Class A common stock or Warrants through a non- U.S. broker or other intermediary, controlled foreign corporations, passive foreign investment companies or non-U.S. holders (as defined below) that are owned or controlled by U.S. holders).</w:t>
      </w:r>
    </w:p>
    <w:p>
      <w:pPr>
        <w:spacing w:after="0" w:line="324" w:lineRule="exact"/>
        <w:rPr>
          <w:sz w:val="20"/>
          <w:szCs w:val="20"/>
          <w:color w:val="auto"/>
        </w:rPr>
      </w:pPr>
    </w:p>
    <w:p>
      <w:pPr>
        <w:jc w:val="both"/>
        <w:ind w:left="1260" w:right="53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This discussion does not address any U.S. federal tax consequences other than income tax consequences, such as U.S. federal estate and gift tax consequences, or any tax consequences under any state, local or foreign laws. Holders are urged to consult their own tax advisors as to the particular tax consequences to them of their ownership and disposition of Class A common stock or Warrants, including the applicability of any other U.S. federal tax laws or any state, local or foreign tax laws or any treaty, and any changes (or proposed changes) in applicable tax laws or interpretations thereof.</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62"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(as determined for U.S. federal income tax purposes) of Class A common stock or Warrants that is, or is treated as, one of the following:</w:t>
      </w:r>
    </w:p>
    <w:p>
      <w:pPr>
        <w:spacing w:after="0" w:line="69" w:lineRule="exact"/>
        <w:rPr>
          <w:sz w:val="20"/>
          <w:szCs w:val="20"/>
          <w:color w:val="auto"/>
        </w:rPr>
      </w:pPr>
    </w:p>
    <w:p>
      <w:pPr>
        <w:ind w:left="1800" w:right="10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 as determined for U.S. federal income tax purposes;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in or under the laws of the United States or any state thereof or the District of Columbia;</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Treasury regulations to be treated as a U.S. person.</w:t>
      </w:r>
    </w:p>
    <w:p>
      <w:pPr>
        <w:spacing w:after="0" w:line="99"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 “non-U.S. holder” means any beneficial owner of Class A common stock or Warrants (other than a partnership or any entity or arrangement treated as a partnership for U.S. federal income tax purposes) that is not a U.S. holder.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is a beneficial owner of Class A common stock or Warrants, the U.S. federal income tax treatment of a partner in the partnership will generally depend on the status of the partner and upon the activities of the partnership. Partnerships holding Class A common stock or Warrants, and partners in such partnerships, should consult their tax advisors as to the particular U.S. federal income tax consequences of acquiring, holding and disposing of Class A common stock or Warrants.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Distributions, if any, made on our Class A common stock, other than certain pro rata distributions of common shares, generally will be included in income as ordinary dividend income to the extent of our current or accumulated earnings and profits, as determined under U.S. federal income tax principles. A distribution in excess of our current and accumulated earnings and profits will be treated as a tax-free return of capital, which reduces the U.S. holder’s tax basis in the Class A common stock. Any distribution in excess of the U.S. holder’s tax basis in the Class A common stock will be treated as capital gain and as long-term capital gain if the U.S. holder’s holding period in the Class A common stock exceeds one year. Certain non-corporate U.S. holders may be entitled to a preferential rate of tax on such dividends if certain holding periods and other requirements are met. Dividends received by a corporate U.S. holder may be eligible for the dividends-received deduction, subject to applicable limitations.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Upon the sale, taxable exchange, or other taxable disposition of our Class A common stock, a U.S. holder generally will recognize capital gain or loss equal to the difference between (i) the amount of cash and the fair market value of any property received upon such taxable disposition and (ii) its tax basis in the Class A common stock. Such capital gain or loss will generally be long-term capital gain or loss if such U.S. holder’s holding period in the Class A common stock is more than one year at the time of the taxable disposition. Long-term capital gains recognized by certain non -corporate U.S. holders generally are subject to a reduced rate of U.S. federal income tax. The deductibility of capital losses is subject to limitations.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the U.S. holder’s initial investment in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32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328"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redemption of Warrants for Class A common stock described in this prospectus under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 Warrants</w:t>
      </w:r>
      <w:r>
        <w:rPr>
          <w:rFonts w:ascii="Times New Roman" w:cs="Times New Roman" w:eastAsia="Times New Roman" w:hAnsi="Times New Roman"/>
          <w:sz w:val="18"/>
          <w:szCs w:val="18"/>
          <w:color w:val="auto"/>
        </w:rPr>
        <w:t>” should be treated as a “recapitalization” within the meaning of Section 368(a)(1)(E)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Code. Accordingly, you should not recognize any gain or loss on the redemption of Warrants for shares of our Class A common stock. Your aggregate tax basis in the shares of Class A common stock received in the redemption should equal your aggregate tax basis in your Warrants redeemed and your holding period for the shares of Class A common stock received in redemption of your Warrants should include your holding period for your surrendered Warrants.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xml:space="preserve"> .”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withholding in the same manner as if such U.S. holder received a cash distribution from us equal to the fair market value of such increased interest.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Passive Income</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U.S. holders that are individuals, estates or trusts and whose income exceeds certain thresholds generally will be subject to a 3.8% Medicare contribution tax on unearned income, including, among other things, dividend income and capital gains from the sale, exchange or other taxable disposition of, Class A common stock or Warrants, subject to certain limitations and exceptions.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Constructive Distributions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 U.S. holder of shares of our Class A common stock, to the extent paid out of our current or accumulated earnings and profits (as determined under U.S. federal income tax principles), will constitute dividends for U.S. federal</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Tax Consequences to Non-U.S. Holders — Gain on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Class A Common Stock and Warrants</w:t>
      </w:r>
      <w:r>
        <w:rPr>
          <w:rFonts w:ascii="Times New Roman" w:cs="Times New Roman" w:eastAsia="Times New Roman" w:hAnsi="Times New Roman"/>
          <w:sz w:val="18"/>
          <w:szCs w:val="18"/>
          <w:color w:val="auto"/>
        </w:rPr>
        <w:t>” below.</w:t>
      </w:r>
    </w:p>
    <w:p>
      <w:pPr>
        <w:spacing w:after="0" w:line="1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U.S. federal income tax treatment of a non -U.S. holder’s exercise of a Warrant generally will correspond to the U.S. federal income tax treatment of the exercise of a Warrant by a U.S. holder, as described under “</w:t>
      </w:r>
      <w:r>
        <w:rPr>
          <w:rFonts w:ascii="Times New Roman" w:cs="Times New Roman" w:eastAsia="Times New Roman" w:hAnsi="Times New Roman"/>
          <w:sz w:val="18"/>
          <w:szCs w:val="18"/>
          <w:i w:val="1"/>
          <w:iCs w:val="1"/>
          <w:color w:val="auto"/>
        </w:rPr>
        <w:t>Tax Consequences to U.S. Holders — Exercise of a Warrant</w:t>
      </w:r>
      <w:r>
        <w:rPr>
          <w:rFonts w:ascii="Times New Roman" w:cs="Times New Roman" w:eastAsia="Times New Roman" w:hAnsi="Times New Roman"/>
          <w:sz w:val="18"/>
          <w:szCs w:val="18"/>
          <w:color w:val="auto"/>
        </w:rPr>
        <w:t xml:space="preserve"> ” above, although to the extent a cashless exercise results in a taxable exchange, the tax consequences to the non-U.S. holder would be the same as those described below in “</w:t>
      </w:r>
      <w:r>
        <w:rPr>
          <w:rFonts w:ascii="Times New Roman" w:cs="Times New Roman" w:eastAsia="Times New Roman" w:hAnsi="Times New Roman"/>
          <w:sz w:val="18"/>
          <w:szCs w:val="18"/>
          <w:i w:val="1"/>
          <w:iCs w:val="1"/>
          <w:color w:val="auto"/>
        </w:rPr>
        <w:t>Tax Consequences to Non-U.S. Holders — Gain on Sale,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Class A Common Stock and Warrants.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for Class A Common Stock</w:t>
      </w:r>
    </w:p>
    <w:p>
      <w:pPr>
        <w:spacing w:after="0" w:line="14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redemption of Warrants for Class A common stock described in this prospectus under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 Warrants</w:t>
      </w:r>
      <w:r>
        <w:rPr>
          <w:rFonts w:ascii="Times New Roman" w:cs="Times New Roman" w:eastAsia="Times New Roman" w:hAnsi="Times New Roman"/>
          <w:sz w:val="18"/>
          <w:szCs w:val="18"/>
          <w:color w:val="auto"/>
        </w:rPr>
        <w:t>” should be treated as a “recapitalization” within the meaning of Section 368(a)(1)(E)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Code. Accordingly, you should not recognize any gain or loss on the redemption of Warrants for shares of our Class A common stock. Your aggregate tax basis in the shares of Class A common stock received in the redemption should equal your aggregate tax basis in your Warrants redeemed and your holding period for the shares of Class A common stock received in redemption of your Warrants should include your holding period for your surrendered Warrants.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gain recognized on a sale, taxable exchange or other taxable disposition of our Class A common stock or Warrants or an expiration or redemption of our Warrants, unless:</w:t>
      </w:r>
    </w:p>
    <w:p>
      <w:pPr>
        <w:spacing w:after="0" w:line="61" w:lineRule="exact"/>
        <w:rPr>
          <w:sz w:val="20"/>
          <w:szCs w:val="20"/>
          <w:color w:val="auto"/>
        </w:rPr>
      </w:pPr>
    </w:p>
    <w:p>
      <w:pPr>
        <w:ind w:left="1800" w:right="89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our Class A common stock are regularly traded on an established securities market, the non-U.S. holder has owned, directly or constructively, more than 5% of our Class A common stock at any time within the shorter of the five-year period preceding the disposition or such non -U.S. holder’s holding period for the shares of our Class A common stock. There can be no assurance that our Class A common stock will be treated as regularly traded on an established securities market for this purpose.</w:t>
      </w:r>
    </w:p>
    <w:p>
      <w:pPr>
        <w:spacing w:after="0" w:line="11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in the same manner as if such non-U.S. holder received a cash distribution from us equal to the fair market value of such increased interest without any corresponding receipt of cash.</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jc w:val="both"/>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Dividends (including constructive dividends) and other payments on our Class A common stock, and the amounts withheld, if any, with respect to the payments, will generally be required to be reported to the IRS.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U.S. holders may be subject to backup withholding (currently at a rate of 24%) with respect to dividends (including constructive dividends) and gross proceeds from the sale, exchange or disposition of our Class A common stock and Warrants unless (1) the U.S. holder is a corporation or comes within certain other exempt categories or (2) prior to payment, the U.S. holder provides an accurate taxpayer identification number and certifies as required on a duly completed and executed IRS Form W-9 (or permitted substitute form), and otherwise complies with the requirements of the backup withholding rules.</w:t>
      </w:r>
    </w:p>
    <w:p>
      <w:pPr>
        <w:spacing w:after="0" w:line="11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holder will be allowed as a credit against the holder’s U.S. federal income tax liability and may entitle the holder to a refund, provided the required information is timely furnished to the IRS and all other requirements are satisfied.</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62"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Non-U.S. holders who have provided the applicable forms and certifications mentioned above under “</w:t>
      </w:r>
      <w:r>
        <w:rPr>
          <w:rFonts w:ascii="Times New Roman" w:cs="Times New Roman" w:eastAsia="Times New Roman" w:hAnsi="Times New Roman"/>
          <w:sz w:val="18"/>
          <w:szCs w:val="18"/>
          <w:i w:val="1"/>
          <w:iCs w:val="1"/>
          <w:color w:val="auto"/>
        </w:rPr>
        <w:t>Tax Consequences to Non-U.S. Holders</w:t>
      </w:r>
      <w:r>
        <w:rPr>
          <w:rFonts w:ascii="Times New Roman" w:cs="Times New Roman" w:eastAsia="Times New Roman" w:hAnsi="Times New Roman"/>
          <w:sz w:val="18"/>
          <w:szCs w:val="18"/>
          <w:color w:val="auto"/>
        </w:rPr>
        <w:t>” or who have otherwise established an exemption will generally not be subject to backup withholding.</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Payments of the proceeds from the sale, exchange or disposition of Class A common stock or Warrants to or through a foreign office of a broker will generally not be subject to information reporting or backup withholding. However, information reporting, but not backup withholding, may apply to those payments if the broker has certain specified U.S. connections. Information reporting and backup withholding may apply to payments of the proceeds from a sale, exchange or disposition of a Warrant or Class A common stock held by a non-U.S. holder to or through the U.S. office of a broker unless the non-U.S. holder establishes an exemption from one or both. Copies of the information returns reporting interest, deemed dividends, dividends and withholding may be made available to the tax authorities in a country in which the non-U.S. holder resides under the provisions of an applicable income tax treaty.</w:t>
      </w:r>
    </w:p>
    <w:p>
      <w:pPr>
        <w:spacing w:after="0" w:line="10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holder will be allowed as a credit against the holder’s U.S. federal income tax liability and may entitle the holder to a refund, provided the required information is timely furnished to the IRS and all other requirements are satisfied.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w:t>
      </w:r>
      <w:r>
        <w:rPr>
          <w:rFonts w:ascii="Times New Roman" w:cs="Times New Roman" w:eastAsia="Times New Roman" w:hAnsi="Times New Roman"/>
          <w:sz w:val="18"/>
          <w:szCs w:val="18"/>
          <w:i w:val="1"/>
          <w:iCs w:val="1"/>
          <w:color w:val="auto"/>
        </w:rPr>
        <w:t>Tax Consequences to Non-U.S. Holders — Dividends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Constructive Distributions</w:t>
      </w:r>
      <w:r>
        <w:rPr>
          <w:rFonts w:ascii="Times New Roman" w:cs="Times New Roman" w:eastAsia="Times New Roman" w:hAnsi="Times New Roman"/>
          <w:sz w:val="18"/>
          <w:szCs w:val="18"/>
          <w:color w:val="auto"/>
        </w:rPr>
        <w:t>,” the withholding under FATCA may be credited against, and therefore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other withholding tax. You should consult your own tax advisors regarding these requirements and whether they may be relevant to your ownership and disposition of Class A common stock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being offered by this prospectus will be passed upon by Baker &amp; Hostetler, LLP, Cleveland, Ohio. Additional legal matters may be passed upon for us or any underwriters, dealers or agents by counsel that we will name in the applicable prospectus supplement.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2021 and 2020, and for each of the years in the two year period ended December 31, 2021, and management’s assessment of the effectiveness of internal control over financial reporting as of December 31, 2021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covering the December 31, 2021 consolidated financial statements contains an explanatory paragraph that states that the Company does not have sufficient liquidity to fund commercial scale production and the launch of sale of its electric vehicles which raises substantial doubt about the Company’s ability to continue as a going concern. The consolidated financial statements do not include any adjustments that might result from the outcome of that uncertainty. Additionally, the audit report covering the December 31, 2021 consolidated financial statements refers to a change in the method of accounting for leases as of January 1, 2021 due to the adoption of Accounting Standards Updated 2016-02, Leases (ASC Topic 842). The audit report on the effectiveness of internal control over financial reporting as of December 31, 2021, expresses an opinion that the Company did not maintain effective internal control over financial reporting as of December 31, 2021 because of the effect of a material weakness on the achievement of the objectives of the control criteria and contains an explanatory paragraph that states the Company did not have a sufficient number of trained resources with assigned responsibilities and accountability for the design and operation of internal controls over financial reporting. As a consequence, the Company did not effectively operate process-level control activities related to procure to pay (including operating expenses, prepaid expenses, and accrued liabilities), review and approval of manual journal entries, and user access controls to ensure appropriate segregation of duties.</w:t>
      </w:r>
    </w:p>
    <w:p>
      <w:pPr>
        <w:spacing w:after="0" w:line="3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Company’s financial statements as of December 31, 2019, and for the period beginning April 30, 2019 and ended December 31, 2019, incorporated by reference this prospectus and registration statement have been audited by Clark, Schaefer, Hackett &amp; Co., an independent registered public accounting firm, as set forth in their report incorporated by reference herein, and are included in reliance upon such report given on the authority of such firm as experts in accounting and auditing. The audit report covering the December 31, 2019 consolidated financial statements states that the Company does not have sufficient liquidity to fund commercial scale production and the launch of sale of its electric vehicles which raises substantial doubt about the Company’s ability to continue as a going concern. Such consolidated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as required by the Exchange Act. You can read our SEC filings, including this prospectus, over the Internet at the SEC’s website at http://www.sec.gov.</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This prospectus does not contain all the information in the registration statement of which this prospectus forms a part. Other documents establishing the terms of the offered securities are or may be filed as exhibits to the registration statement or documents incorporated by reference in the registration statement. Whenever a reference is made in this prospectus to a contract or other document of ours, the reference is only a summary and you should refer to the exhibits that are a part of the registration statement for a copy of the contract or other document. You may review a copy of the registration statement through the SEC’s website, as provided above.</w:t>
      </w:r>
    </w:p>
    <w:p>
      <w:pPr>
        <w:spacing w:after="0" w:line="3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website address is www.lordstownmotors.com.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business and financial information about our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spacing w:after="0" w:line="84" w:lineRule="exact"/>
        <w:rPr>
          <w:sz w:val="20"/>
          <w:szCs w:val="20"/>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Our Annual Report on Form 10-K for the fiscal year ended December 31, 2021, filed on February 28,</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79" w:hanging="180"/>
        <w:spacing w:after="0" w:line="266" w:lineRule="auto"/>
        <w:tabs>
          <w:tab w:leader="none" w:pos="1800" w:val="left"/>
        </w:tabs>
        <w:numPr>
          <w:ilvl w:val="0"/>
          <w:numId w:val="14"/>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EE"/>
          </w:rPr>
          <w:t>fiscal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 (other</w:t>
        </w:r>
      </w:hyperlink>
      <w:r>
        <w:rPr>
          <w:rFonts w:ascii="Times New Roman" w:cs="Times New Roman" w:eastAsia="Times New Roman" w:hAnsi="Times New Roman"/>
          <w:sz w:val="18"/>
          <w:szCs w:val="18"/>
          <w:color w:val="0000EE"/>
        </w:rPr>
        <w:t xml:space="preserve"> </w:t>
      </w:r>
      <w:hyperlink r:id="rId124">
        <w:r>
          <w:rPr>
            <w:rFonts w:ascii="Times New Roman" w:cs="Times New Roman" w:eastAsia="Times New Roman" w:hAnsi="Times New Roman"/>
            <w:sz w:val="18"/>
            <w:szCs w:val="18"/>
            <w:u w:val="single" w:color="auto"/>
            <w:color w:val="0000EE"/>
          </w:rPr>
          <w:t>than information furnished rather than filed), which was filed with the SEC on April 8, 2022.</w:t>
        </w:r>
      </w:hyperlink>
    </w:p>
    <w:p>
      <w:pPr>
        <w:spacing w:after="0" w:line="67" w:lineRule="exact"/>
        <w:rPr>
          <w:rFonts w:ascii="Times New Roman" w:cs="Times New Roman" w:eastAsia="Times New Roman" w:hAnsi="Times New Roman"/>
          <w:sz w:val="18"/>
          <w:szCs w:val="18"/>
          <w:u w:val="single" w:color="auto"/>
          <w:color w:val="0000EE"/>
        </w:rPr>
      </w:pPr>
    </w:p>
    <w:p>
      <w:pPr>
        <w:ind w:left="1800" w:right="4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and June 30, 2022 filed on </w:t>
      </w:r>
      <w:hyperlink r:id="rId125">
        <w:r>
          <w:rPr>
            <w:rFonts w:ascii="Times New Roman" w:cs="Times New Roman" w:eastAsia="Times New Roman" w:hAnsi="Times New Roman"/>
            <w:sz w:val="18"/>
            <w:szCs w:val="18"/>
            <w:u w:val="single" w:color="auto"/>
            <w:color w:val="0000EE"/>
          </w:rPr>
          <w:t>May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6">
        <w:r>
          <w:rPr>
            <w:rFonts w:ascii="Times New Roman" w:cs="Times New Roman" w:eastAsia="Times New Roman" w:hAnsi="Times New Roman"/>
            <w:sz w:val="18"/>
            <w:szCs w:val="18"/>
            <w:u w:val="single" w:color="auto"/>
            <w:color w:val="0000EE"/>
          </w:rPr>
          <w:t>August 4, 2022</w:t>
        </w:r>
      </w:hyperlink>
      <w:r>
        <w:rPr>
          <w:rFonts w:ascii="Times New Roman" w:cs="Times New Roman" w:eastAsia="Times New Roman" w:hAnsi="Times New Roman"/>
          <w:sz w:val="18"/>
          <w:szCs w:val="18"/>
          <w:color w:val="auto"/>
        </w:rPr>
        <w:t>, respectively.</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4"/>
        </w:numPr>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auto"/>
          </w:rPr>
          <w:t xml:space="preserve">Our Current Reports on Form 8-K or Form 8-K/A, filed on </w:t>
        </w:r>
        <w:r>
          <w:rPr>
            <w:rFonts w:ascii="Times New Roman" w:cs="Times New Roman" w:eastAsia="Times New Roman" w:hAnsi="Times New Roman"/>
            <w:sz w:val="18"/>
            <w:szCs w:val="18"/>
            <w:u w:val="single" w:color="auto"/>
            <w:color w:val="0000EE"/>
          </w:rPr>
          <w:t>April 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17,</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28">
        <w:r>
          <w:rPr>
            <w:rFonts w:ascii="Times New Roman" w:cs="Times New Roman" w:eastAsia="Times New Roman" w:hAnsi="Times New Roman"/>
            <w:sz w:val="18"/>
            <w:szCs w:val="18"/>
            <w:u w:val="single" w:color="auto"/>
            <w:color w:val="0000EE"/>
          </w:rPr>
          <w:t xml:space="preserve">May 19, 2022 </w:t>
        </w:r>
      </w:hyperlink>
      <w:hyperlink r:id="rId127">
        <w:r>
          <w:rPr>
            <w:rFonts w:ascii="Times New Roman" w:cs="Times New Roman" w:eastAsia="Times New Roman" w:hAnsi="Times New Roman"/>
            <w:sz w:val="18"/>
            <w:szCs w:val="18"/>
            <w:color w:val="000000"/>
          </w:rPr>
          <w:t>(with respect to items 5.02, 5.03, 5.07 and 9.01),</w:t>
        </w:r>
        <w:r>
          <w:rPr>
            <w:rFonts w:ascii="Times New Roman" w:cs="Times New Roman" w:eastAsia="Times New Roman" w:hAnsi="Times New Roman"/>
            <w:sz w:val="18"/>
            <w:szCs w:val="18"/>
            <w:color w:val="0000EE"/>
          </w:rPr>
          <w:t xml:space="preserve"> </w:t>
        </w:r>
      </w:hyperlink>
      <w:hyperlink r:id="rId129">
        <w:r>
          <w:rPr>
            <w:rFonts w:ascii="Times New Roman" w:cs="Times New Roman" w:eastAsia="Times New Roman" w:hAnsi="Times New Roman"/>
            <w:sz w:val="18"/>
            <w:szCs w:val="18"/>
            <w:u w:val="single" w:color="auto"/>
            <w:color w:val="0000EE"/>
          </w:rPr>
          <w:t>May 23, 2022</w:t>
        </w:r>
      </w:hyperlink>
      <w:hyperlink r:id="rId1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0">
        <w:r>
          <w:rPr>
            <w:rFonts w:ascii="Times New Roman" w:cs="Times New Roman" w:eastAsia="Times New Roman" w:hAnsi="Times New Roman"/>
            <w:sz w:val="18"/>
            <w:szCs w:val="18"/>
            <w:u w:val="single" w:color="auto"/>
            <w:color w:val="0000EE"/>
          </w:rPr>
          <w:t>June 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31">
        <w:r>
          <w:rPr>
            <w:rFonts w:ascii="Times New Roman" w:cs="Times New Roman" w:eastAsia="Times New Roman" w:hAnsi="Times New Roman"/>
            <w:sz w:val="18"/>
            <w:szCs w:val="18"/>
            <w:u w:val="single" w:color="auto"/>
            <w:color w:val="0000EE"/>
          </w:rPr>
          <w:t>July 12,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32">
        <w:r>
          <w:rPr>
            <w:rFonts w:ascii="Times New Roman" w:cs="Times New Roman" w:eastAsia="Times New Roman" w:hAnsi="Times New Roman"/>
            <w:sz w:val="18"/>
            <w:szCs w:val="18"/>
            <w:u w:val="single" w:color="auto"/>
            <w:color w:val="0000EE"/>
          </w:rPr>
          <w:t xml:space="preserve">August 11,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33">
        <w:r>
          <w:rPr>
            <w:rFonts w:ascii="Times New Roman" w:cs="Times New Roman" w:eastAsia="Times New Roman" w:hAnsi="Times New Roman"/>
            <w:sz w:val="18"/>
            <w:szCs w:val="18"/>
            <w:u w:val="single" w:color="auto"/>
            <w:color w:val="0000EE"/>
          </w:rPr>
          <w:t>August 18,2022.</w:t>
        </w:r>
      </w:hyperlink>
    </w:p>
    <w:p>
      <w:pPr>
        <w:spacing w:after="0" w:line="67" w:lineRule="exact"/>
        <w:rPr>
          <w:rFonts w:ascii="Times New Roman" w:cs="Times New Roman" w:eastAsia="Times New Roman" w:hAnsi="Times New Roman"/>
          <w:sz w:val="18"/>
          <w:szCs w:val="18"/>
          <w:color w:val="0000EE"/>
        </w:rPr>
      </w:pPr>
    </w:p>
    <w:p>
      <w:pPr>
        <w:ind w:left="1800" w:right="539" w:hanging="180"/>
        <w:spacing w:after="0" w:line="282" w:lineRule="auto"/>
        <w:tabs>
          <w:tab w:leader="none" w:pos="1800" w:val="left"/>
        </w:tabs>
        <w:numPr>
          <w:ilvl w:val="0"/>
          <w:numId w:val="14"/>
        </w:numPr>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The Description of Class A Common Stock filed as Exhibit 4.1 to our Annual Report on Form 10-K</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for the fiscal year ended December 31, 2021, filed on February 28, 2022.</w:t>
        </w:r>
      </w:hyperlink>
    </w:p>
    <w:p>
      <w:pPr>
        <w:spacing w:after="0" w:line="94" w:lineRule="exact"/>
        <w:rPr>
          <w:rFonts w:ascii="Times New Roman" w:cs="Times New Roman" w:eastAsia="Times New Roman" w:hAnsi="Times New Roman"/>
          <w:sz w:val="18"/>
          <w:szCs w:val="18"/>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we make with the SEC under Sections 13(a), 13(c), 14 or 15(d) of the Securities Exchange Act of 1934, as amended (the “Exchange Act”) (other than portions of those made pursuant to Item 2.02 or Item 7.01 of Form 8-K or other information “furnished” and not filed with the SEC), including those made after the date of the initial filing of the post-effective amendment to the registration statement of which this prospectus is a part and prior to effectiveness of such post-effective amendment.</w:t>
      </w:r>
    </w:p>
    <w:p>
      <w:pPr>
        <w:sectPr>
          <w:pgSz w:w="11900" w:h="16838" w:orient="portrait"/>
          <w:cols w:equalWidth="0" w:num="1">
            <w:col w:w="9879"/>
          </w:cols>
          <w:pgMar w:left="580" w:top="97" w:right="1440" w:bottom="1440" w:gutter="0" w:footer="0" w:header="0"/>
        </w:sectPr>
      </w:pPr>
    </w:p>
    <w:p>
      <w:pPr>
        <w:spacing w:after="0" w:line="363"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773430</wp:posOffset>
            </wp:positionV>
            <wp:extent cx="246888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24688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Lordstown Motors Corp.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Up to 60,700,926 Shares of Class A Common Stock</w:t>
      </w:r>
    </w:p>
    <w:p>
      <w:pPr>
        <w:spacing w:after="0" w:line="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b w:val="1"/>
          <w:bCs w:val="1"/>
          <w:color w:val="auto"/>
        </w:rPr>
        <w:t>Up to 2,276,464 Shares of Class A Common Stock Issuable Upon Exercise of</w:t>
      </w:r>
    </w:p>
    <w:p>
      <w:pPr>
        <w:spacing w:after="0" w:line="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Warrants</w:t>
      </w: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Up to 2,276,464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954405</wp:posOffset>
            </wp:positionV>
            <wp:extent cx="1234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1280160</wp:posOffset>
            </wp:positionV>
            <wp:extent cx="5212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THE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380" w:type="dxa"/>
            <w:vAlign w:val="bottom"/>
            <w:tcBorders>
              <w:right w:val="single" w:sz="8" w:color="auto"/>
            </w:tcBorders>
            <w:gridSpan w:val="2"/>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tcBorders>
              <w:right w:val="single" w:sz="8" w:color="CCEEFF"/>
            </w:tcBorders>
            <w:gridSpan w:val="3"/>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 ​​$281,765</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Legal fees and expenses</w:t>
            </w:r>
          </w:p>
        </w:tc>
        <w:tc>
          <w:tcPr>
            <w:tcW w:w="306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60" w:type="dxa"/>
            <w:vAlign w:val="bottom"/>
            <w:tcBorders>
              <w:right w:val="single" w:sz="8" w:color="CCEEFF"/>
            </w:tcBorders>
            <w:gridSpan w:val="3"/>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60" w:type="dxa"/>
            <w:vAlign w:val="bottom"/>
            <w:gridSpan w:val="3"/>
          </w:tcPr>
          <w:p>
            <w:pPr>
              <w:ind w:left="220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80" w:type="dxa"/>
            <w:vAlign w:val="bottom"/>
          </w:tcPr>
          <w:p>
            <w:pPr>
              <w:spacing w:after="0" w:line="270"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vMerge w:val="restart"/>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2300" w:type="dxa"/>
            <w:vAlign w:val="bottom"/>
            <w:vMerge w:val="continue"/>
            <w:shd w:val="clear" w:color="auto" w:fill="CCEEFF"/>
          </w:tcPr>
          <w:p>
            <w:pPr>
              <w:spacing w:after="0"/>
              <w:rPr>
                <w:sz w:val="6"/>
                <w:szCs w:val="6"/>
                <w:color w:val="auto"/>
              </w:rPr>
            </w:pPr>
          </w:p>
        </w:tc>
        <w:tc>
          <w:tcPr>
            <w:tcW w:w="760" w:type="dxa"/>
            <w:vAlign w:val="bottom"/>
            <w:tcBorders>
              <w:right w:val="single" w:sz="8" w:color="CCEEFF"/>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8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3116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-950595</wp:posOffset>
            </wp:positionV>
            <wp:extent cx="43033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97" w:lineRule="exact"/>
        <w:rPr>
          <w:sz w:val="20"/>
          <w:szCs w:val="20"/>
          <w:color w:val="auto"/>
        </w:rPr>
      </w:pPr>
    </w:p>
    <w:p>
      <w:pPr>
        <w:ind w:left="1620" w:right="57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2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145 of the DGCL.</w:t>
      </w:r>
    </w:p>
    <w:p>
      <w:pPr>
        <w:spacing w:after="0" w:line="124"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for any transaction from which the director derives an improper personal benefit;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4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0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1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8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Exhibit</w:t>
      </w:r>
    </w:p>
    <w:p>
      <w:pPr>
        <w:jc w:val="both"/>
        <w:ind w:left="1260"/>
        <w:spacing w:after="0" w:line="186" w:lineRule="auto"/>
        <w:tabs>
          <w:tab w:leader="none" w:pos="1460" w:val="left"/>
          <w:tab w:leader="none" w:pos="1940" w:val="left"/>
          <w:tab w:leader="none" w:pos="544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No.</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24"/>
          <w:szCs w:val="24"/>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wp:posOffset>
            </wp:positionV>
            <wp:extent cx="4114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3" w:lineRule="exact"/>
        <w:rPr>
          <w:sz w:val="20"/>
          <w:szCs w:val="20"/>
          <w:color w:val="auto"/>
        </w:rPr>
      </w:pPr>
    </w:p>
    <w:p>
      <w:pPr>
        <w:ind w:left="1360" w:hanging="100"/>
        <w:spacing w:after="0"/>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w:t>
      </w: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65"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65"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5.1</w:t>
      </w:r>
    </w:p>
    <w:p>
      <w:pPr>
        <w:ind w:left="1260"/>
        <w:spacing w:after="0" w:line="194"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23.1*</w:t>
      </w:r>
    </w:p>
    <w:p>
      <w:pPr>
        <w:ind w:left="1260"/>
        <w:spacing w:after="0" w:line="182" w:lineRule="auto"/>
        <w:rPr>
          <w:sz w:val="20"/>
          <w:szCs w:val="20"/>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31"/>
          <w:szCs w:val="31"/>
          <w:color w:val="auto"/>
          <w:vertAlign w:val="superscript"/>
        </w:rPr>
        <w:t>​</w:t>
      </w:r>
    </w:p>
    <w:p>
      <w:pPr>
        <w:ind w:left="1260"/>
        <w:spacing w:after="0" w:line="190" w:lineRule="auto"/>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40" w:type="dxa"/>
            <w:vAlign w:val="bottom"/>
            <w:tcBorders>
              <w:right w:val="single" w:sz="8" w:color="auto"/>
            </w:tcBorders>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7560" w:type="dxa"/>
            <w:vAlign w:val="bottom"/>
            <w:gridSpan w:val="11"/>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48">
              <w:r>
                <w:rPr>
                  <w:rFonts w:ascii="Times New Roman" w:cs="Times New Roman" w:eastAsia="Times New Roman" w:hAnsi="Times New Roman"/>
                  <w:sz w:val="18"/>
                  <w:szCs w:val="18"/>
                  <w:color w:val="0000EE"/>
                </w:rPr>
                <w:t>Agreement and Plan of Merger, dated as of August 1, 2020, by and among DiamondPeak</w:t>
              </w:r>
            </w:hyperlink>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Holding Corp., Lordstown Motors Corp. and DPL Merger Sub Corp. (incorporated by reference</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to the Company’s Current Report on Form 8-K, filed with the SEC on August 3, 2020)</w:t>
              </w:r>
            </w:hyperlink>
          </w:p>
        </w:tc>
        <w:tc>
          <w:tcPr>
            <w:tcW w:w="80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7560" w:type="dxa"/>
            <w:vAlign w:val="bottom"/>
            <w:gridSpan w:val="1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49">
              <w:r>
                <w:rPr>
                  <w:rFonts w:ascii="Times New Roman" w:cs="Times New Roman" w:eastAsia="Times New Roman" w:hAnsi="Times New Roman"/>
                  <w:sz w:val="18"/>
                  <w:szCs w:val="18"/>
                  <w:color w:val="0000EE"/>
                </w:rPr>
                <w:t>Second Amended and Restated Certificate of Incorporation (incorporated by reference to the</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Company’s Current Report on Form 8-K, filed with the SEC on October 29, 2020)</w:t>
              </w:r>
            </w:hyperlink>
          </w:p>
        </w:tc>
        <w:tc>
          <w:tcPr>
            <w:tcW w:w="780" w:type="dxa"/>
            <w:vAlign w:val="bottom"/>
            <w:tcBorders>
              <w:top w:val="single" w:sz="8" w:color="0000EE"/>
            </w:tcBorders>
            <w:gridSpan w:val="4"/>
          </w:tcPr>
          <w:p>
            <w:pPr>
              <w:spacing w:after="0"/>
              <w:rPr>
                <w:sz w:val="17"/>
                <w:szCs w:val="17"/>
                <w:color w:val="auto"/>
              </w:rPr>
            </w:pPr>
          </w:p>
        </w:tc>
        <w:tc>
          <w:tcPr>
            <w:tcW w:w="3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7560" w:type="dxa"/>
            <w:vAlign w:val="bottom"/>
            <w:gridSpan w:val="1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50">
              <w:r>
                <w:rPr>
                  <w:rFonts w:ascii="Times New Roman" w:cs="Times New Roman" w:eastAsia="Times New Roman" w:hAnsi="Times New Roman"/>
                  <w:sz w:val="18"/>
                  <w:szCs w:val="18"/>
                  <w:color w:val="0000EE"/>
                </w:rPr>
                <w:t>Amended and Restated Bylaws (incorporated by reference to the Company’s Current Report on</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40" w:type="dxa"/>
            <w:vAlign w:val="bottom"/>
          </w:tcPr>
          <w:p>
            <w:pPr>
              <w:spacing w:after="0"/>
              <w:rPr>
                <w:sz w:val="17"/>
                <w:szCs w:val="17"/>
                <w:color w:val="auto"/>
              </w:rPr>
            </w:pPr>
          </w:p>
        </w:tc>
        <w:tc>
          <w:tcPr>
            <w:tcW w:w="71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8-K, filed with the SEC on October 29, 2020)</w:t>
              </w:r>
            </w:hyperlink>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560" w:type="dxa"/>
            <w:vAlign w:val="bottom"/>
            <w:gridSpan w:val="1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51">
              <w:r>
                <w:rPr>
                  <w:rFonts w:ascii="Times New Roman" w:cs="Times New Roman" w:eastAsia="Times New Roman" w:hAnsi="Times New Roman"/>
                  <w:sz w:val="18"/>
                  <w:szCs w:val="18"/>
                  <w:color w:val="0000EE"/>
                </w:rPr>
                <w:t>Certificate of Amendment of Second Amended and Restated Certificate of Incorporation of</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Lordstown Motors Corp.(incorporated by reference to the Company’s Current Report on Form 8-</w:t>
              </w:r>
            </w:hyperlink>
          </w:p>
        </w:tc>
        <w:tc>
          <w:tcPr>
            <w:tcW w:w="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K, filed with the SEC on August 18, 2022)</w:t>
              </w:r>
            </w:hyperlink>
          </w:p>
        </w:tc>
        <w:tc>
          <w:tcPr>
            <w:tcW w:w="4100" w:type="dxa"/>
            <w:vAlign w:val="bottom"/>
            <w:gridSpan w:val="9"/>
          </w:tcPr>
          <w:p>
            <w:pPr>
              <w:spacing w:after="0"/>
              <w:rPr>
                <w:sz w:val="17"/>
                <w:szCs w:val="17"/>
                <w:color w:val="auto"/>
              </w:rPr>
            </w:pPr>
          </w:p>
        </w:tc>
        <w:tc>
          <w:tcPr>
            <w:tcW w:w="60" w:type="dxa"/>
            <w:vAlign w:val="bottom"/>
          </w:tcPr>
          <w:p>
            <w:pPr>
              <w:spacing w:after="0"/>
              <w:rPr>
                <w:sz w:val="17"/>
                <w:szCs w:val="17"/>
                <w:color w:val="auto"/>
              </w:rPr>
            </w:pPr>
          </w:p>
        </w:tc>
      </w:tr>
    </w:tbl>
    <w:p>
      <w:pPr>
        <w:spacing w:after="0" w:line="2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52">
        <w:r>
          <w:rPr>
            <w:rFonts w:ascii="Times New Roman" w:cs="Times New Roman" w:eastAsia="Times New Roman" w:hAnsi="Times New Roman"/>
            <w:sz w:val="18"/>
            <w:szCs w:val="18"/>
            <w:u w:val="single" w:color="auto"/>
            <w:color w:val="0000EE"/>
          </w:rPr>
          <w:t>Warrant Agreement, dated February 27, 2019, by and between the Company and American Stock</w:t>
        </w:r>
      </w:hyperlink>
      <w:r>
        <w:rPr>
          <w:rFonts w:ascii="Times New Roman" w:cs="Times New Roman" w:eastAsia="Times New Roman" w:hAnsi="Times New Roman"/>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72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Transfer &amp; Trust Company, LLC, as trustee (including form of warrant certificate) (incorporated</w:t>
              </w:r>
            </w:hyperlink>
          </w:p>
        </w:tc>
        <w:tc>
          <w:tcPr>
            <w:tcW w:w="120" w:type="dxa"/>
            <w:vAlign w:val="bottom"/>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7280" w:type="dxa"/>
            <w:vAlign w:val="bottom"/>
            <w:gridSpan w:val="7"/>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by reference to the Company’s Current Report on Form 8-K, filed with the SEC on March 5,</w:t>
              </w:r>
            </w:hyperlink>
          </w:p>
        </w:tc>
        <w:tc>
          <w:tcPr>
            <w:tcW w:w="1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2019)</w:t>
              </w:r>
            </w:hyperlink>
          </w:p>
        </w:tc>
        <w:tc>
          <w:tcPr>
            <w:tcW w:w="35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7500" w:type="dxa"/>
            <w:vAlign w:val="bottom"/>
            <w:gridSpan w:val="8"/>
          </w:tcPr>
          <w:p>
            <w:pPr>
              <w:spacing w:after="0" w:line="264" w:lineRule="exact"/>
              <w:rPr>
                <w:rFonts w:ascii="Times New Roman" w:cs="Times New Roman" w:eastAsia="Times New Roman" w:hAnsi="Times New Roman"/>
                <w:sz w:val="16"/>
                <w:szCs w:val="16"/>
                <w:color w:val="0000EE"/>
              </w:rPr>
            </w:pPr>
            <w:hyperlink r:id="rId153"/>
            <w:r>
              <w:rPr>
                <w:rFonts w:ascii="Times New Roman" w:cs="Times New Roman" w:eastAsia="Times New Roman" w:hAnsi="Times New Roman"/>
                <w:sz w:val="30"/>
                <w:szCs w:val="30"/>
                <w:color w:val="000000"/>
                <w:vertAlign w:val="superscript"/>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30"/>
                <w:szCs w:val="30"/>
                <w:color w:val="000000"/>
                <w:vertAlign w:val="superscript"/>
              </w:rPr>
              <w:t>​</w:t>
            </w:r>
            <w:r>
              <w:rPr>
                <w:rFonts w:ascii="Times New Roman" w:cs="Times New Roman" w:eastAsia="Times New Roman" w:hAnsi="Times New Roman"/>
                <w:sz w:val="16"/>
                <w:szCs w:val="16"/>
                <w:color w:val="0000EE"/>
              </w:rPr>
              <w:t xml:space="preserve"> </w:t>
            </w:r>
            <w:hyperlink r:id="rId153">
              <w:r>
                <w:rPr>
                  <w:rFonts w:ascii="Times New Roman" w:cs="Times New Roman" w:eastAsia="Times New Roman" w:hAnsi="Times New Roman"/>
                  <w:sz w:val="16"/>
                  <w:szCs w:val="16"/>
                  <w:color w:val="0000EE"/>
                </w:rPr>
                <w:t>Opinion of Baker &amp; Hostetler LLP (previously filed)</w:t>
              </w:r>
            </w:hyperlink>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500" w:type="dxa"/>
            <w:vAlign w:val="bottom"/>
            <w:gridSpan w:val="8"/>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Consent of KPMG LLP, independent registered accounting firm.</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500" w:type="dxa"/>
            <w:vAlign w:val="bottom"/>
            <w:gridSpan w:val="8"/>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Consent of Clark, Schaefer, Hackett &amp; Co Independent Registered Public Accounting Firm</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500" w:type="dxa"/>
            <w:vAlign w:val="bottom"/>
            <w:gridSpan w:val="8"/>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Power of Attorney (included on signature page hereto)</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171450</wp:posOffset>
            </wp:positionV>
            <wp:extent cx="1234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1680" w:space="220"/>
            <w:col w:w="7979"/>
          </w:cols>
          <w:pgMar w:left="580" w:top="97" w:right="1440" w:bottom="1440" w:gutter="0" w:footer="0" w:header="0"/>
          <w:type w:val="continuous"/>
        </w:sectPr>
      </w:pPr>
    </w:p>
    <w:p>
      <w:pPr>
        <w:spacing w:after="0" w:line="69" w:lineRule="exact"/>
        <w:rPr>
          <w:sz w:val="20"/>
          <w:szCs w:val="20"/>
          <w:color w:val="auto"/>
        </w:rPr>
      </w:pPr>
    </w:p>
    <w:p>
      <w:pPr>
        <w:ind w:left="1620" w:hanging="360"/>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8" w:lineRule="exact"/>
        <w:rPr>
          <w:sz w:val="20"/>
          <w:szCs w:val="20"/>
          <w:color w:val="auto"/>
        </w:rPr>
      </w:pPr>
    </w:p>
    <w:p>
      <w:pPr>
        <w:ind w:left="1620" w:right="87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 exhibit will be furnished to the SEC upon request.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2340" w:right="1339" w:hanging="360"/>
        <w:spacing w:after="0" w:line="282" w:lineRule="auto"/>
        <w:tabs>
          <w:tab w:leader="none" w:pos="2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499" w:hanging="360"/>
        <w:spacing w:after="0" w:line="253" w:lineRule="auto"/>
        <w:tabs>
          <w:tab w:leader="none" w:pos="2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42" w:lineRule="exact"/>
        <w:rPr>
          <w:rFonts w:ascii="Times New Roman" w:cs="Times New Roman" w:eastAsia="Times New Roman" w:hAnsi="Times New Roman"/>
          <w:sz w:val="18"/>
          <w:szCs w:val="18"/>
          <w:color w:val="auto"/>
        </w:rPr>
      </w:pPr>
    </w:p>
    <w:p>
      <w:pPr>
        <w:ind w:left="2700" w:right="439" w:hanging="360"/>
        <w:spacing w:after="0" w:line="266" w:lineRule="auto"/>
        <w:tabs>
          <w:tab w:leader="none" w:pos="2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ind w:left="2340" w:right="579"/>
        <w:spacing w:after="0" w:line="25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03" w:lineRule="exact"/>
        <w:rPr>
          <w:sz w:val="20"/>
          <w:szCs w:val="20"/>
          <w:color w:val="auto"/>
        </w:rPr>
      </w:pPr>
    </w:p>
    <w:p>
      <w:pPr>
        <w:ind w:left="2340" w:right="419" w:hanging="360"/>
        <w:spacing w:after="0" w:line="261"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2340" w:right="739" w:hanging="360"/>
        <w:spacing w:after="0" w:line="282"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44" w:lineRule="exact"/>
        <w:rPr>
          <w:rFonts w:ascii="Times New Roman" w:cs="Times New Roman" w:eastAsia="Times New Roman" w:hAnsi="Times New Roman"/>
          <w:sz w:val="18"/>
          <w:szCs w:val="18"/>
          <w:color w:val="auto"/>
        </w:rPr>
      </w:pPr>
    </w:p>
    <w:p>
      <w:pPr>
        <w:ind w:left="2700" w:right="539" w:hanging="360"/>
        <w:spacing w:after="0" w:line="266" w:lineRule="auto"/>
        <w:tabs>
          <w:tab w:leader="none" w:pos="2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700" w:right="419" w:hanging="360"/>
        <w:spacing w:after="0" w:line="252" w:lineRule="auto"/>
        <w:tabs>
          <w:tab w:leader="none" w:pos="2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41" w:lineRule="exact"/>
        <w:rPr>
          <w:rFonts w:ascii="Times New Roman" w:cs="Times New Roman" w:eastAsia="Times New Roman" w:hAnsi="Times New Roman"/>
          <w:sz w:val="18"/>
          <w:szCs w:val="18"/>
          <w:color w:val="auto"/>
        </w:rPr>
      </w:pPr>
    </w:p>
    <w:p>
      <w:pPr>
        <w:ind w:left="2340" w:right="519" w:hanging="360"/>
        <w:spacing w:after="0" w:line="282"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519"/>
        <w:spacing w:after="0" w:line="258" w:lineRule="auto"/>
        <w:rPr>
          <w:sz w:val="20"/>
          <w:szCs w:val="20"/>
          <w:color w:val="auto"/>
        </w:rPr>
      </w:pPr>
      <w:r>
        <w:rPr>
          <w:rFonts w:ascii="Times New Roman" w:cs="Times New Roman" w:eastAsia="Times New Roman" w:hAnsi="Times New Roman"/>
          <w:sz w:val="18"/>
          <w:szCs w:val="18"/>
          <w:color w:val="auto"/>
        </w:rPr>
        <w:t>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6" w:lineRule="exact"/>
        <w:rPr>
          <w:sz w:val="20"/>
          <w:szCs w:val="20"/>
          <w:color w:val="auto"/>
        </w:rPr>
      </w:pPr>
    </w:p>
    <w:p>
      <w:pPr>
        <w:ind w:left="2700" w:right="699" w:hanging="360"/>
        <w:spacing w:after="0" w:line="282"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700" w:right="919" w:hanging="360"/>
        <w:spacing w:after="0" w:line="282"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2700" w:right="559" w:hanging="360"/>
        <w:spacing w:after="0" w:line="266"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700" w:right="999" w:hanging="360"/>
        <w:spacing w:after="0" w:line="282" w:lineRule="auto"/>
        <w:tabs>
          <w:tab w:leader="none" w:pos="27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2340" w:right="499" w:hanging="360"/>
        <w:spacing w:after="0" w:line="255" w:lineRule="auto"/>
        <w:tabs>
          <w:tab w:leader="none" w:pos="23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23"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19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Lordstown, State of Ohio, on August 24, 2022.</w:t>
      </w:r>
    </w:p>
    <w:p>
      <w:pPr>
        <w:spacing w:after="0" w:line="17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1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43180</wp:posOffset>
            </wp:positionV>
            <wp:extent cx="20142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8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Edward T. Hightower</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39" w:lineRule="exact"/>
        <w:rPr>
          <w:sz w:val="20"/>
          <w:szCs w:val="20"/>
          <w:color w:val="auto"/>
        </w:rPr>
      </w:pPr>
    </w:p>
    <w:p>
      <w:pPr>
        <w:ind w:left="1260" w:right="1380"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Edward T. Hightower, Adam Kroll and Melissa A. Leonard,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329" w:lineRule="exact"/>
        <w:rPr>
          <w:sz w:val="20"/>
          <w:szCs w:val="20"/>
          <w:color w:val="auto"/>
        </w:rPr>
      </w:pPr>
    </w:p>
    <w:p>
      <w:pPr>
        <w:ind w:left="1260" w:right="132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0" w:type="dxa"/>
            <w:vAlign w:val="bottom"/>
            <w:tcBorders>
              <w:bottom w:val="single" w:sz="8" w:color="auto"/>
            </w:tcBorders>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rPr>
              <w:t>/s/ Edward T. Hightower</w:t>
            </w:r>
          </w:p>
        </w:tc>
        <w:tc>
          <w:tcPr>
            <w:tcW w:w="2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2"/>
        </w:trPr>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rPr>
              <w:t>Edward T. Hightower</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/s/ Adam Kroll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23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rPr>
              <w:t>Adam Kroll</w:t>
            </w:r>
          </w:p>
        </w:tc>
        <w:tc>
          <w:tcPr>
            <w:tcW w:w="20" w:type="dxa"/>
            <w:vAlign w:val="bottom"/>
          </w:tcPr>
          <w:p>
            <w:pPr>
              <w:spacing w:after="0"/>
              <w:rPr>
                <w:sz w:val="17"/>
                <w:szCs w:val="17"/>
                <w:color w:val="auto"/>
              </w:rPr>
            </w:pPr>
          </w:p>
        </w:tc>
        <w:tc>
          <w:tcPr>
            <w:tcW w:w="1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(Principal Financial Officer and</w:t>
            </w:r>
          </w:p>
        </w:tc>
        <w:tc>
          <w:tcPr>
            <w:tcW w:w="2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24, 2022</w:t>
            </w:r>
          </w:p>
        </w:tc>
        <w:tc>
          <w:tcPr>
            <w:tcW w:w="1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/s/ Daniel A. Ninivaggi</w:t>
            </w:r>
          </w:p>
        </w:tc>
        <w:tc>
          <w:tcPr>
            <w:tcW w:w="20" w:type="dxa"/>
            <w:vAlign w:val="bottom"/>
          </w:tcPr>
          <w:p>
            <w:pPr>
              <w:spacing w:after="0"/>
              <w:rPr>
                <w:sz w:val="24"/>
                <w:szCs w:val="24"/>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3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rPr>
              <w:t>Daniel A. Ninivaggi</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/s/ David T. Hamamoto</w:t>
            </w:r>
          </w:p>
        </w:tc>
        <w:tc>
          <w:tcPr>
            <w:tcW w:w="20" w:type="dxa"/>
            <w:vAlign w:val="bottom"/>
          </w:tcPr>
          <w:p>
            <w:pPr>
              <w:spacing w:after="0"/>
              <w:rPr>
                <w:sz w:val="24"/>
                <w:szCs w:val="24"/>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3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rPr>
              <w:t>David T. Hamamoto</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/s/ Keith Feldman</w:t>
            </w:r>
          </w:p>
        </w:tc>
        <w:tc>
          <w:tcPr>
            <w:tcW w:w="20" w:type="dxa"/>
            <w:vAlign w:val="bottom"/>
          </w:tcPr>
          <w:p>
            <w:pPr>
              <w:spacing w:after="0"/>
              <w:rPr>
                <w:sz w:val="24"/>
                <w:szCs w:val="24"/>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3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rPr>
              <w:t>Keith Feldman</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/s/ Jane Reiss</w:t>
            </w:r>
          </w:p>
        </w:tc>
        <w:tc>
          <w:tcPr>
            <w:tcW w:w="20" w:type="dxa"/>
            <w:vAlign w:val="bottom"/>
          </w:tcPr>
          <w:p>
            <w:pPr>
              <w:spacing w:after="0"/>
              <w:rPr>
                <w:sz w:val="24"/>
                <w:szCs w:val="24"/>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3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rPr>
              <w:t>Jane Reiss</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/s/ Dale Spencer</w:t>
            </w:r>
          </w:p>
        </w:tc>
        <w:tc>
          <w:tcPr>
            <w:tcW w:w="20" w:type="dxa"/>
            <w:vAlign w:val="bottom"/>
          </w:tcPr>
          <w:p>
            <w:pPr>
              <w:spacing w:after="0"/>
              <w:rPr>
                <w:sz w:val="24"/>
                <w:szCs w:val="24"/>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3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rPr>
              <w:t>Dale Spencer</w:t>
            </w: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9"/>
        </w:trPr>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II-5</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-3110865</wp:posOffset>
            </wp:positionV>
            <wp:extent cx="1645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-2613660</wp:posOffset>
            </wp:positionV>
            <wp:extent cx="1645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-2176780</wp:posOffset>
            </wp:positionV>
            <wp:extent cx="16459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-1739265</wp:posOffset>
            </wp:positionV>
            <wp:extent cx="16459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-1302385</wp:posOffset>
            </wp:positionV>
            <wp:extent cx="16459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-873760</wp:posOffset>
            </wp:positionV>
            <wp:extent cx="16459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80" w:hanging="1020"/>
        <w:spacing w:after="0"/>
        <w:tabs>
          <w:tab w:leader="none" w:pos="2280" w:val="left"/>
        </w:tabs>
        <w:numPr>
          <w:ilvl w:val="0"/>
          <w:numId w:val="26"/>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4"/>
          <w:szCs w:val="14"/>
          <w:b w:val="1"/>
          <w:bCs w:val="1"/>
          <w:color w:val="auto"/>
        </w:rPr>
        <w:t>Signature</w:t>
      </w:r>
    </w:p>
    <w:p>
      <w:pPr>
        <w:spacing w:after="0" w:line="109" w:lineRule="exact"/>
        <w:rPr>
          <w:rFonts w:ascii="Times New Roman" w:cs="Times New Roman" w:eastAsia="Times New Roman" w:hAnsi="Times New Roman"/>
          <w:sz w:val="29"/>
          <w:szCs w:val="29"/>
          <w:b w:val="1"/>
          <w:bCs w:val="1"/>
          <w:color w:val="auto"/>
          <w:vertAlign w:val="subscript"/>
        </w:rPr>
      </w:pPr>
    </w:p>
    <w:p>
      <w:pPr>
        <w:ind w:left="1920" w:hanging="660"/>
        <w:spacing w:after="0"/>
        <w:tabs>
          <w:tab w:leader="none" w:pos="1920" w:val="left"/>
        </w:tabs>
        <w:numPr>
          <w:ilvl w:val="0"/>
          <w:numId w:val="2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 Angela Strand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16459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-307975</wp:posOffset>
            </wp:positionV>
            <wp:extent cx="16630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Angela Strand</w:t>
      </w:r>
    </w:p>
    <w:p>
      <w:pPr>
        <w:spacing w:after="0" w:line="6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Laura Soave</w:t>
      </w:r>
    </w:p>
    <w:p>
      <w:pPr>
        <w:ind w:left="1260"/>
        <w:spacing w:after="0" w:line="203"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6459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jc w:val="center"/>
        <w:ind w:left="1580"/>
        <w:spacing w:after="0"/>
        <w:rPr>
          <w:sz w:val="20"/>
          <w:szCs w:val="20"/>
          <w:color w:val="auto"/>
        </w:rPr>
      </w:pPr>
      <w:r>
        <w:rPr>
          <w:rFonts w:ascii="Times New Roman" w:cs="Times New Roman" w:eastAsia="Times New Roman" w:hAnsi="Times New Roman"/>
          <w:sz w:val="18"/>
          <w:szCs w:val="18"/>
          <w:color w:val="auto"/>
        </w:rPr>
        <w:t>Laura Soave</w:t>
      </w:r>
    </w:p>
    <w:p>
      <w:pPr>
        <w:spacing w:after="0" w:line="9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8"/>
          <w:szCs w:val="18"/>
          <w:color w:val="auto"/>
        </w:rPr>
        <w:t>/s/ Joseph B. Anderson Jr.</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6459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Joseph B. Anderson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3540" w:space="380"/>
            <w:col w:w="5959"/>
          </w:cols>
          <w:pgMar w:left="580" w:top="97" w:right="1440"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February 28, 2022, with respect to the consolidated financial statements of Lordstown Motors Corp., and the effectiveness of internal control over financial reporting, incorporated herein by reference and to the reference to our firm under the heading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(the “Registration Statement”) of Lordstown Motors Corp. (the “Company”) of our report dated August 24, 2020, with respect to the financial statements of the Company are incorporated by reference in the Registration Statement, and to all references to our Firm included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Clark, Schaefer, Hackett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22"/>
    </w:lvl>
  </w:abstractNum>
  <w:abstractNum w:abstractNumId="9">
    <w:nsid w:val="431BD7B7"/>
    <w:multiLevelType w:val="hybridMultilevel"/>
    <w:lvl w:ilvl="0">
      <w:lvlJc w:val="left"/>
      <w:lvlText w:val="(%1)"/>
      <w:numFmt w:val="decimal"/>
      <w:start w:val="45"/>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0">
    <w:nsid w:val="6763845E"/>
    <w:multiLevelType w:val="hybridMultilevel"/>
    <w:lvl w:ilvl="0">
      <w:lvlJc w:val="left"/>
      <w:lvlText w:val="(%1)"/>
      <w:numFmt w:val="lowerRoman"/>
      <w:start w:val="2"/>
    </w:lvl>
  </w:abstractNum>
  <w:abstractNum w:abstractNumId="21">
    <w:nsid w:val="75A2A8D4"/>
    <w:multiLevelType w:val="hybridMultilevel"/>
    <w:lvl w:ilvl="0">
      <w:lvlJc w:val="left"/>
      <w:lvlText w:val="(%1)"/>
      <w:numFmt w:val="decimal"/>
      <w:start w:val="2"/>
    </w:lvl>
    <w:lvl w:ilvl="1">
      <w:lvlJc w:val="left"/>
      <w:lvlText w:val="(%2)"/>
      <w:numFmt w:val="lowerRoman"/>
      <w:start w:val="1"/>
    </w:lvl>
  </w:abstractNum>
  <w:abstractNum w:abstractNumId="22">
    <w:nsid w:val="8EDBD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79838CB2"/>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4">
    <w:nsid w:val="4353D0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jpe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22" Type="http://schemas.openxmlformats.org/officeDocument/2006/relationships/hyperlink" Target="http://www.sec.gov/ix?doc=/Archives/edgar/data/1759546/000155837022002265/ride-20211231x10k.htm" TargetMode="External"/><Relationship Id="rId123" Type="http://schemas.openxmlformats.org/officeDocument/2006/relationships/hyperlink" Target="https://www.sec.gov/ix?doc=/Archives/edgar/data/1759546/000155837022002265/ride-20211231x10k.htm" TargetMode="External"/><Relationship Id="rId124" Type="http://schemas.openxmlformats.org/officeDocument/2006/relationships/hyperlink" Target="https://www.sec.gov/Archives/edgar/data/1759546/000110465922044325/tm229721-2_def14a.htm" TargetMode="External"/><Relationship Id="rId125" Type="http://schemas.openxmlformats.org/officeDocument/2006/relationships/hyperlink" Target="http://www.sec.gov/ix?doc=/Archives/edgar/data/1759546/000155837022007666/ride-20220331x10q.htm" TargetMode="External"/><Relationship Id="rId126" Type="http://schemas.openxmlformats.org/officeDocument/2006/relationships/hyperlink" Target="https://www.sec.gov/Archives/edgar/data/1759546/000155837022012069/ride-20220630x10q.htm" TargetMode="External"/><Relationship Id="rId127" Type="http://schemas.openxmlformats.org/officeDocument/2006/relationships/hyperlink" Target="http://www.sec.gov/ix?doc=/Archives/edgar/data/1759546/000110465922061733/tm2215803d3_8k.htm" TargetMode="External"/><Relationship Id="rId128" Type="http://schemas.openxmlformats.org/officeDocument/2006/relationships/hyperlink" Target="http://www.sec.gov/ix?doc=/Archives/edgar/data/1759546/000110465922062952/tm2216027d2_8k.htm" TargetMode="External"/><Relationship Id="rId129" Type="http://schemas.openxmlformats.org/officeDocument/2006/relationships/hyperlink" Target="http://www.sec.gov/ix?doc=/Archives/edgar/data/1759546/000110465922063653/tm2216027d5_8k.htm" TargetMode="External"/><Relationship Id="rId130" Type="http://schemas.openxmlformats.org/officeDocument/2006/relationships/hyperlink" Target="http://www.sec.gov/ix?doc=/Archives/edgar/data/1759546/000110465922066913/tm2217412d1_8ka.htm" TargetMode="External"/><Relationship Id="rId131" Type="http://schemas.openxmlformats.org/officeDocument/2006/relationships/hyperlink" Target="http://www.sec.gov/ix?doc=/Archives/edgar/data/1759546/000155837022010648/ride-20220711x8k.htm" TargetMode="External"/><Relationship Id="rId132" Type="http://schemas.openxmlformats.org/officeDocument/2006/relationships/hyperlink" Target="http://www.sec.gov/ix?doc=/Archives/edgar/data/1759546/000155837022013324/ride-20220810x8k.htm" TargetMode="External"/><Relationship Id="rId133" Type="http://schemas.openxmlformats.org/officeDocument/2006/relationships/hyperlink" Target="http://www.sec.gov/ix?doc=/Archives/edgar/data/1759546/000155837022013793/ride-20220817x8k.htm" TargetMode="External"/><Relationship Id="rId134" Type="http://schemas.openxmlformats.org/officeDocument/2006/relationships/hyperlink" Target="http://www.sec.gov/Archives/edgar/data/1759546/000155837022002265/ride-20211231xex4d1.htm" TargetMode="External"/><Relationship Id="rId148" Type="http://schemas.openxmlformats.org/officeDocument/2006/relationships/hyperlink" Target="http://www.sec.gov/Archives/edgar/data/1759546/000121390020019762/ea124863ex2-1_diamondpeak.htm" TargetMode="External"/><Relationship Id="rId149" Type="http://schemas.openxmlformats.org/officeDocument/2006/relationships/hyperlink" Target="http://www.sec.gov/Archives/edgar/data/1759546/000110465920119279/tm2034197d1_ex3-1.htm" TargetMode="External"/><Relationship Id="rId150" Type="http://schemas.openxmlformats.org/officeDocument/2006/relationships/hyperlink" Target="http://www.sec.gov/Archives/edgar/data/1759546/000110465920119279/tm2034197d1_ex3-2.htm" TargetMode="External"/><Relationship Id="rId151" Type="http://schemas.openxmlformats.org/officeDocument/2006/relationships/hyperlink" Target="https://www.sec.gov/Archives/edgar/data/1759546/000155837022013793/ride-20220817xex3d1.htm" TargetMode="External"/><Relationship Id="rId152" Type="http://schemas.openxmlformats.org/officeDocument/2006/relationships/hyperlink" Target="http://www.sec.gov/Archives/edgar/data/1759546/000121390019003554/f8k0319ex4-1_diamond.htm" TargetMode="External"/><Relationship Id="rId153" Type="http://schemas.openxmlformats.org/officeDocument/2006/relationships/hyperlink" Target="http://www.sec.gov/Archives/edgar/data/1759546/000110465921098249/tm2123645d2_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2022-08-24T16:34:29Z</dcterms:created>
  <dcterms:modified xsi:type="dcterms:W3CDTF">2022-08-24T16:34:29Z</dcterms:modified>
</cp:coreProperties>
</file>