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0" w:right="21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right="1740" w:hanging="332"/>
        <w:spacing w:after="0" w:line="500"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001-38821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40" w:right="339" w:bottom="0" w:gutter="0" w:footer="0" w:header="0"/>
        </w:sectPr>
      </w:pPr>
    </w:p>
    <w:p>
      <w:pPr>
        <w:spacing w:after="0" w:line="20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83-2533239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520"/>
          </w:cols>
          <w:pgMar w:left="320" w:top="740"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1700 Broadway, 19th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740" w:right="339" w:bottom="0" w:gutter="0" w:footer="0" w:header="0"/>
          <w:type w:val="continuous"/>
        </w:sect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202-2200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16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0" w:gutter="0" w:footer="0" w:header="0"/>
          <w:type w:val="continuous"/>
        </w:sectPr>
      </w:pPr>
    </w:p>
    <w:p>
      <w:pPr>
        <w:spacing w:after="0" w:line="135" w:lineRule="exact"/>
        <w:rPr>
          <w:sz w:val="24"/>
          <w:szCs w:val="24"/>
          <w:color w:val="auto"/>
        </w:rPr>
      </w:pPr>
    </w:p>
    <w:p>
      <w:pPr>
        <w:jc w:val="center"/>
        <w:ind w:right="6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6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320"/>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7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7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4240" w:space="720"/>
            <w:col w:w="2680" w:space="720"/>
            <w:col w:w="2880"/>
          </w:cols>
          <w:pgMar w:left="320" w:top="740" w:right="339" w:bottom="0" w:gutter="0" w:footer="0" w:header="0"/>
          <w:type w:val="continuous"/>
        </w:sectPr>
      </w:pPr>
    </w:p>
    <w:p>
      <w:pPr>
        <w:spacing w:after="0" w:line="1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Class A common stock outstanding, other than shares held by persons who may be deemed affiliates of the registrant, computed by reference to the closing sales price for the registrant’s Class A common stock on June 30, 2025 (the last business day of the registrant’s most recently completed second quarter) as reported on the OTC Pink market, was approximately $20,199,631.</w:t>
      </w:r>
    </w:p>
    <w:p>
      <w:pPr>
        <w:spacing w:after="0" w:line="176"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26, 2026, there were 16,096,296 shares of Class A common stock, $0.0001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 Ride, Inc. (the “Company”) is filing this Amendment No. 1 (“Amendment No. 1”) to its Annual Report on Form 10-K for the fiscal year ended December 31, 2025 as filed with the Securities Exchange Commission (the “SEC”) on March 26, 2026 (the “Original Form 10-K”), to provide the information required by Part III of Form 10-K. This information was previously omitted from the Original Form 10-K in reliance on the General Instructions to Form 10-K, which permits the information in Part III to be incorporated in Form 10-K by reference from the registrant’s definitive proxy statement or included in an amendment to Form 10-K, in either case filed with the SEC no later than 120 days after the end of the fiscal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Amendment No. 1 also contains new certifications pursuant to Sections 302 and 906 of the Sarbanes-Oxley Act of 2002, which are being filed and furnished, respectively, as exhibits to this Amendment No. 1 under Item 15 of Part IV. Because this Amendment No. 1 does not contain or amend any financial statements or disclosure with respect to Items 307 and 308 of Regulation S-K under the Exchange Act, paragraphs 3, 4 and 5 of the Section 302 certification have been omitted. As a result, Item 15 of Part IV has been amended to reflect the filing and furnishing of these new certifications.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expressly noted herein, this Amendment No. 1 does not modify or update in any way the financial position, results of operations, cash flows, or other information contained or incorporated in, including the exhibits thereto, the Original Form 10-K, nor does it reflect events occurring after the filing of the Original Form 10-K. Accordingly, this Amendment No. 1 should be read in conjunction with the Original Form 10-K and with our other filings made with the SEC subsequent to the filing of the Original Annual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Amendment No. 1, we provide our website address, www.nurideinc.com, to disclose that certain information is available on our website. Information contained on, or that can be accessed through, our website is not incorporated by reference into this Amendment No. 1, and references to our website address in this Amendment No. 1 are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8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94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94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1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94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1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4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1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5460" w:type="dxa"/>
            <w:vAlign w:val="bottom"/>
            <w:tcBorders>
              <w:top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Principal Accountant’s Fees and Services</w:t>
            </w:r>
          </w:p>
        </w:tc>
        <w:tc>
          <w:tcPr>
            <w:tcW w:w="3320" w:type="dxa"/>
            <w:vAlign w:val="bottom"/>
            <w:tcBorders>
              <w:top w:val="single" w:sz="8" w:color="CCEEFF"/>
            </w:tcBorders>
            <w:gridSpan w:val="2"/>
          </w:tcPr>
          <w:p>
            <w:pPr>
              <w:spacing w:after="0"/>
              <w:rPr>
                <w:sz w:val="15"/>
                <w:szCs w:val="15"/>
                <w:color w:val="auto"/>
              </w:rPr>
            </w:pPr>
          </w:p>
        </w:tc>
        <w:tc>
          <w:tcPr>
            <w:tcW w:w="1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7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8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June 27, 2023, Lordstown Motors Corp., a Delaware corporation and its subsidiaries (collectively, the “Debtors”), commenced voluntary proceedings under chapter 11 of the U.S. Bankruptcy Code (“Chapter 11”) in the U.S. Bankruptcy Court for the District of Delaware (the “Bankruptcy Court”). The Chapter 11 proceedings were jointly administered under the caption </w:t>
      </w:r>
      <w:r>
        <w:rPr>
          <w:rFonts w:ascii="Times New Roman" w:cs="Times New Roman" w:eastAsia="Times New Roman" w:hAnsi="Times New Roman"/>
          <w:sz w:val="18"/>
          <w:szCs w:val="18"/>
          <w:i w:val="1"/>
          <w:iCs w:val="1"/>
          <w:color w:val="auto"/>
        </w:rPr>
        <w:t>In re: Lordstown Motors Corp., et al.</w:t>
      </w:r>
      <w:r>
        <w:rPr>
          <w:rFonts w:ascii="Times New Roman" w:cs="Times New Roman" w:eastAsia="Times New Roman" w:hAnsi="Times New Roman"/>
          <w:sz w:val="18"/>
          <w:szCs w:val="18"/>
          <w:color w:val="auto"/>
        </w:rPr>
        <w:t>, Cases No. 23-10831 through 23-10833 (the “Chapter 11 Cases”). On March 5, 2024, the Bankruptcy Court entered an order (the “Confirmation Order”) confirming the Third Modified First Amended Joint Chapter 11 Plan of Lordstown Motors Corp. and Its Affiliated Debtors (as may be further modified, amended, or supplemented, the “Plan”). Following the entry of the Confirmation Order and all conditions to Plan effectiveness being satisfied, the Debtors emerged from bankruptcy on March 14, 2024 (the “Effective Date”) under the name “Nu Ride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provided for the appointment of new members to serve on the Company’s board of directors as of the Effective Date and provided that such new board was to be selected by the official committee of equity security holders (“Equity Committee”). The Equity Committee selected the below individuals to serve on the Company’s board of directors as of the Effective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with respect to our current directors as of April 15,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Length of Service as</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8"/>
        </w:trPr>
        <w:tc>
          <w:tcPr>
            <w:tcW w:w="18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22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20" w:type="dxa"/>
            <w:vAlign w:val="bottom"/>
          </w:tcPr>
          <w:p>
            <w:pPr>
              <w:spacing w:after="0"/>
              <w:rPr>
                <w:sz w:val="20"/>
                <w:szCs w:val="20"/>
                <w:color w:val="auto"/>
              </w:rPr>
            </w:pPr>
          </w:p>
        </w:tc>
        <w:tc>
          <w:tcPr>
            <w:tcW w:w="56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Position with the Company</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L. Sole</w:t>
            </w:r>
          </w:p>
        </w:tc>
        <w:tc>
          <w:tcPr>
            <w:tcW w:w="2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16"/>
                <w:szCs w:val="16"/>
                <w:color w:val="auto"/>
              </w:rPr>
            </w:pPr>
          </w:p>
        </w:tc>
        <w:tc>
          <w:tcPr>
            <w:tcW w:w="2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Since March 2024</w:t>
            </w:r>
          </w:p>
        </w:tc>
        <w:tc>
          <w:tcPr>
            <w:tcW w:w="2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Class III Director and Member of the Audit</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Alexander C. Matina</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Since March 2024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Treasurer and Secretary and Class III</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Michael J. Wartell</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Since March 2024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 Chairman of the Corporate Governance and Nominating</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 and Member of the Audit Committee and Compensation</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Neil Weiner</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Since March 2024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Class I Director, Chairman of the Audit Committee and Member of the</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and Corporate Governance and Nominating</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Alexandre Zyngier</w:t>
            </w:r>
          </w:p>
        </w:tc>
        <w:tc>
          <w:tcPr>
            <w:tcW w:w="11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Since March 2024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Class II Director, Chairman of the Compensation Committee and Member of</w:t>
            </w:r>
          </w:p>
        </w:tc>
      </w:tr>
      <w:tr>
        <w:trPr>
          <w:trHeight w:val="234"/>
        </w:trPr>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Audit Committee and Corporate Governance and Nominating Committee</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Andrew L. Sole </w:t>
      </w:r>
      <w:r>
        <w:rPr>
          <w:rFonts w:ascii="Times New Roman" w:cs="Times New Roman" w:eastAsia="Times New Roman" w:hAnsi="Times New Roman"/>
          <w:sz w:val="18"/>
          <w:szCs w:val="18"/>
          <w:color w:val="auto"/>
        </w:rPr>
        <w:t>is the Co-founder and Managing Member of Esopus Creek Advisors, the General Partner to the Esopus Creek Value Series Fund 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(“Esopus”). Esopus, launched in August 2005, is based in East Hampton, N.Y. and is a concentrated long-term value investment fund focusing on investments in small and mid-capitalization public securities, both non-distressed and distressed public companies. Mr. Sole has over 30 years of investment experience, including investments in Chapter 11 corporate reorganizations. Mr. Sole has served as a fiduciary on both official creditor and official equity holder committees in numerous bankruptcy cases over the last 18 years. Prior to Esopus, Mr. Sole was a managing partner of Esopus Creek Partners and Esopus Creek Capital, the predecessor firms to Esopus, from January 2002 until August 2005. Both firms focused on long-term investments in public securities. Mr. Sole holds a Bachelor of Science in Mathematics from Union College and a J.D (cum laude and a Member of the Order of the Coif) from the Benjamin N. Cardozo School of Law of Yeshiva University, and is a licensed attorney in New York. We believe that Mr. Sole’s investment management and advisory knowledge and experience qualify him to serve on the Board.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Alexander C. Matina </w:t>
      </w:r>
      <w:r>
        <w:rPr>
          <w:rFonts w:ascii="Times New Roman" w:cs="Times New Roman" w:eastAsia="Times New Roman" w:hAnsi="Times New Roman"/>
          <w:sz w:val="18"/>
          <w:szCs w:val="18"/>
          <w:color w:val="auto"/>
        </w:rPr>
        <w:t>has served as the Chief Executive Officer of the Company since September 2025. Mr. Matina is currently the Managing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LANECR Consulting LLC. From 2007 through 2023, Mr. Matina served in various leadership roles, including as Portfolio Manager, at MFP Investors LLC, which invested across both public and private markets. He has served on the board of directors of Trinity Place Holdings Inc., a publicly traded company, since 2013, Range Capital Acquisition Corp, a special purpose acquisition company, since 2024 and Range Capital Acquisition II, a special purpose acquisition company, since 2025, and S&amp;W Seed Company, a publicly traded agricultural company from 2015-2025. He is also a director of SIXGEN, a privately held cyber-security company, and Standard Nuclear, a privately held nuclear fuel business. Mr. Matina previously served as a director of Crowheart Energy LLC, a private energy company, Madava Financial, a private energy-focused finance company, as well as other public and private boards. Mr. Matina received a Bachelor of Science in finance and accounting from Fordham University (summa cum laude) and an MBA from Columbia Business School. We believe that Mr. Matina’s strong investment management and finance background, including experience with private equity as well as his experience with other public companies, qualify him to serve on the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J. Wartell </w:t>
      </w:r>
      <w:r>
        <w:rPr>
          <w:rFonts w:ascii="Times New Roman" w:cs="Times New Roman" w:eastAsia="Times New Roman" w:hAnsi="Times New Roman"/>
          <w:sz w:val="18"/>
          <w:szCs w:val="18"/>
          <w:color w:val="auto"/>
        </w:rPr>
        <w:t>has been the president of Bluerose Associates, LLC since October 2023, a consulting firm providing strategic, governance,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advisory services. He serves and has served on a number of public and private company boards and special committees across sectors including healthcare, technology, financial services, and industrials, including Grupo Aeromexico, S.A.B. de C.V. since January 2026, which is a publicly traded holding company with subsidiaries engaged in commercial aviation in Mexico. Previously, he co-founded and served as Co-Chief Investment Officer of Venor Capital Management LP from 2005 through 2023, an alternative investment firm managing institutional capital across hedge fund and private credit strategies. Earlier in his career, Mr. Wartell held senior investment roles, previous to Venor, at Deutsche Bank and Merrill Lynch. He earned a Bachelor of Science in Economics (cum laude) with concentrations in Finance and Accounting from the Wharton School at the University of Pennsylvania and holds the Chartered Financial Analyst (CFA) designation. We believe that Mr. Wartell’s 35 years of experience leading investments across credit, special situations, and event-driven strategies brings deep expertise in strategic decision-making, risk governance, and stakeholder alignment across multiple industries, qualify him to serve on the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Neil Weiner </w:t>
      </w:r>
      <w:r>
        <w:rPr>
          <w:rFonts w:ascii="Times New Roman" w:cs="Times New Roman" w:eastAsia="Times New Roman" w:hAnsi="Times New Roman"/>
          <w:sz w:val="18"/>
          <w:szCs w:val="18"/>
          <w:color w:val="auto"/>
        </w:rPr>
        <w:t>currently manages a private family partnership, Foxhill Family Partnership, LP, which was established in 2021. Prior to this, Mr. Weiner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founded Foxhill Capital Partners, LLC in 2006 as the investment manager of the Foxhill Opportunity Fund, L.P., a private fund focused on distressed and special situation investments where he served as the Chief Investment Officer. He previously was a partner at the distressed firm Triage Capital Management. Additionally, he served on the board of directors of Cambium Learning Group, a private education technology company, from 2010 to 2013 and was chairman of the audit committee. Mr. Weiner holds a Bachelor of Arts from the University of Pennsylvania and an MBA from The Wharton School at the University of Pennsylvania. Through his substantial investment and fund management experience, Mr. Weiner has acquired extensive knowledge of, and experience in, the areas of finance, investing and capital markets, and such prior experiences also demonstrate his leadership capability and business acumen, which we believe qualifies him to serve on the Board.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Alexandre Zyngier </w:t>
      </w:r>
      <w:r>
        <w:rPr>
          <w:rFonts w:ascii="Times New Roman" w:cs="Times New Roman" w:eastAsia="Times New Roman" w:hAnsi="Times New Roman"/>
          <w:sz w:val="18"/>
          <w:szCs w:val="18"/>
          <w:color w:val="auto"/>
        </w:rPr>
        <w:t>has served as the Managing Director and Founder of Batuta Capital Advisors LLC, a private investment and advisory firm, since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also serves on the board of directors of Beyond Meat, a leading plant-based meat company since October 2025, Urgently Inc., a software enabled roadside assistance company since January 2025, Unifin Financiera SAB de CV, a Mexican finance company since August 2024, COFINA Puerto Rico, the taxing authority of Puerto Rico, since February 2019, Atari SA, a public video game company, since August 2014 and certain other private entities. Mr. Zyngier previously served on the board of directors of Slam Corp, a public special purpose acquisition company, from February 2023 until March 2026, LazyDays Holdings Inc. from July 2025 until December 2025, Appvion Holding Corp, a private paper and packaging company, from February 2019 to December 2021, GT Advanced Technologies Inc., a private advanced materials company, from March 2016 to November 2021, Torchlight Energy Resources Inc., a public exploration and production company, from June 2016 to June 2021, Eileen Fisher Inc., a private retail company, from November 2020 to May 2021, and certain other public and private companies. Mr. Zyngier earned his MBA in Accounting and Finance from the University of Chicago. We believe Mr. Zyngier’s qualifications to serve on our Board include his years of investment management and advisory experiences with various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Terms of Office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Company’s Third Amended and Restated Certificate of Incorporation, the Board has been divided into three classes, designated Class I, Class II and Class III. The term of the Class I director (Mr. Weiner) will expire at the 2028 Annual Meeting; the term of the Class II directors will expire at the 2026 Annual Meeting (Messrs. Zyngier and Wartell), and the term of the Class III directors (Messrs. Sole and Matina) will expire at the annual meeting of the stockholders of the Company to be held in 2027, or, in each case, on the earlier of such person’s death, resignation or removal.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Information Regarding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26, 2025, Alexander Matina was appointed as the Company’s Chief Executive Officer, President, Treasurer and Secretary. Set forth below is certain information with respect to Mr. Matina as of April 15, 2026. For information concerning the business experience of Mr. Matina, see “Information Regarding Directors”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76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8"/>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Alexander C. Matina</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7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President, Treasurer, and Secretary; Class III Director</w:t>
            </w:r>
          </w:p>
        </w:tc>
      </w:tr>
      <w:tr>
        <w:trPr>
          <w:trHeight w:val="414"/>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2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beneficial owners of more than 10% of any registered class of our equity securities (each such person a “reporting person”) to file with the SEC initial reports of ownership and reports of changes in such ownership. Based solely on a review of the forms and amendments thereto filed electronically by any reporting person with the SEC during or with respect to 2025 and written representations from any such reporting person that no Form 5 is required, we believe that all reports applicable to such reporting persons were filed in a timely manner in accordance with Section 16(a)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employees, executive officers and directors. The Code of Conduct is available on the investor relations portion of our website at nurideinc.com. The Board must approve any waivers of the Code of Conduct for employees, executive officers and directors. We expect that any amendments to the Code of Conduct, or any waivers of its requirements, will be disclosed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 and Considerations for Nominating Board Candidates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Board’s objective is that its membership be composed of a diverse group of experienced and dedicated individuals. The Corporate Governance and Nominating Committee is responsible for identifying, evaluating, recruiting, and recommending qualified candidates to the Board for nomination or election and for filling vacancies occurring between annual meetings of stockholders. Candidates for membership on the Board will be reviewed in the context of the existing membership of the Board, the operating requirements of the Company, and the long-term interests of stockholders. A director’s qualifications in light of these criteria are considered at least each time such director is renominated for Board membership. The Corporate Governance and Nominating Committee may apply several criteria in selecting nominees. At a minimum, the Corporate Governance and Nominating Committee considers:</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qualities and characteristics, accomplishments and reputation in the business community;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knowledge and contacts in the communities in which the Company does business and in the Company’s industry or other industries relevant to the Company’s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and willingness to commit adequate time to Board and committee matters;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fit of the individual’s skills and personality with those of other directors and potential directors in building a Board that is effective, collegial and responsive to the needs of the Company;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viewpoints, background, experience and other demographics.</w:t>
      </w:r>
    </w:p>
    <w:p>
      <w:pPr>
        <w:spacing w:after="0" w:line="22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and identifying candidates, the Corporate Governance and Nominating Committee has the authority to retain and terminate any third-party search firm that is used to identify director candidates and has the authority to approve the fees and retention terms of any search firm. With regard to any candidates who are properly recommended by stockholders (as described in more detail below) or by other sources, the Corporate Governance and Nominating Committee reviews the qualifications of any such candidate. After completing its review and evaluation of director candidates, the Corporate Governance and Nominating Committee recommends the director nominees that it has determined to be qualified to the full Board.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desiring to suggest a candidate for consideration by the Nominating and Corporate Governance Committee must do so in accordance with our Bylaws and the securities laws, and should send a letter to the attention of the Secretary of the Company, at our principal executive offices, 1700 Broadway, 19th Floor, New York, New York 10019, Attention: Secretary, and include the information required by our Bylaws.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consisting of Mr. Weiner (Chair) and Messrs. Sole, Wartell and Zyngier. The Board determined that each of these members of the Audit Committee satisfies the independence requirements of the rules of the NASDAQ Stock Market (“NASDAQ Rules”) and Rule 10A-3 under the Exchange Act. Each of these members of the Audit Committee can read and understand fundamental financial statements in accordance with NASDAQ Rules related to audit committee requirements and the Board has determined that Mr. Weiner qualifies as an audit committee financial expert within the meaning of SEC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which governs the purchase, sale and/or any other dispositions of our securities by the Company and its directors, officers and employees and is reasonably designed to promote compliance with insider trading laws, rules and regulations and applicable exchange listing standards. A copy of our Insider Trading Policy is filed as Exhibit 19.1 to our Annual Report on Form 10-K for the year ended December 31, 2024 and is also available on our website at nurideinc.com.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information regarding the compensation arrangements for our (i) Chief Executive Officer, President, Treasurer, and Secretary and</w:t>
      </w:r>
    </w:p>
    <w:p>
      <w:pPr>
        <w:spacing w:after="0" w:line="27" w:lineRule="exact"/>
        <w:rPr>
          <w:sz w:val="20"/>
          <w:szCs w:val="20"/>
          <w:color w:val="auto"/>
        </w:rPr>
      </w:pPr>
    </w:p>
    <w:p>
      <w:pPr>
        <w:ind w:firstLine="8"/>
        <w:spacing w:after="0" w:line="260" w:lineRule="auto"/>
        <w:tabs>
          <w:tab w:leader="none" w:pos="2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Chief Executive Officer, President, and Treasurer, who were our only named executive officer in 2025 (our “named executive officers” or “NEOs”).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 2025, our NEOs were:</w:t>
            </w:r>
          </w:p>
        </w:tc>
        <w:tc>
          <w:tcPr>
            <w:tcW w:w="220" w:type="dxa"/>
            <w:vAlign w:val="bottom"/>
          </w:tcPr>
          <w:p>
            <w:pPr>
              <w:spacing w:after="0"/>
              <w:rPr>
                <w:sz w:val="20"/>
                <w:szCs w:val="20"/>
                <w:color w:val="auto"/>
              </w:rPr>
            </w:pPr>
          </w:p>
        </w:tc>
        <w:tc>
          <w:tcPr>
            <w:tcW w:w="8080" w:type="dxa"/>
            <w:vAlign w:val="bottom"/>
          </w:tcPr>
          <w:p>
            <w:pPr>
              <w:spacing w:after="0"/>
              <w:rPr>
                <w:sz w:val="20"/>
                <w:szCs w:val="20"/>
                <w:color w:val="auto"/>
              </w:rPr>
            </w:pPr>
          </w:p>
        </w:tc>
      </w:tr>
      <w:tr>
        <w:trPr>
          <w:trHeight w:val="432"/>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4"/>
                <w:szCs w:val="24"/>
                <w:color w:val="auto"/>
              </w:rPr>
            </w:pPr>
          </w:p>
        </w:tc>
        <w:tc>
          <w:tcPr>
            <w:tcW w:w="80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Alexander C. Matina</w:t>
            </w:r>
          </w:p>
        </w:tc>
        <w:tc>
          <w:tcPr>
            <w:tcW w:w="220" w:type="dxa"/>
            <w:vAlign w:val="bottom"/>
          </w:tcPr>
          <w:p>
            <w:pPr>
              <w:spacing w:after="0"/>
              <w:rPr>
                <w:sz w:val="16"/>
                <w:szCs w:val="16"/>
                <w:color w:val="auto"/>
              </w:rPr>
            </w:pPr>
          </w:p>
        </w:tc>
        <w:tc>
          <w:tcPr>
            <w:tcW w:w="8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President, Treasurer, and Secretary; Class III 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William Gallagher</w:t>
            </w:r>
          </w:p>
        </w:tc>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Former Chief Executive Officer, President, Secretary, and Treasurer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220" w:type="dxa"/>
            <w:vAlign w:val="bottom"/>
          </w:tcPr>
          <w:p>
            <w:pPr>
              <w:spacing w:after="0"/>
              <w:rPr>
                <w:sz w:val="24"/>
                <w:szCs w:val="24"/>
                <w:color w:val="auto"/>
              </w:rPr>
            </w:pPr>
          </w:p>
        </w:tc>
        <w:tc>
          <w:tcPr>
            <w:tcW w:w="808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total compensation of our NEOs for all services rendered in all capacities to us for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Non-</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All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Plan</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Compen-</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Compen-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sation</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sation</w:t>
            </w:r>
          </w:p>
        </w:tc>
        <w:tc>
          <w:tcPr>
            <w:tcW w:w="4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 xml:space="preserve">Alexander C. Matina </w:t>
            </w:r>
            <w:r>
              <w:rPr>
                <w:rFonts w:ascii="Times New Roman" w:cs="Times New Roman" w:eastAsia="Times New Roman" w:hAnsi="Times New Roman"/>
                <w:sz w:val="17"/>
                <w:szCs w:val="17"/>
                <w:i w:val="1"/>
                <w:iCs w:val="1"/>
                <w:color w:val="auto"/>
              </w:rPr>
              <w:t>Chief Executive Officer,</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$ 117,667 </w:t>
            </w:r>
            <w:r>
              <w:rPr>
                <w:rFonts w:ascii="Times New Roman" w:cs="Times New Roman" w:eastAsia="Times New Roman" w:hAnsi="Times New Roman"/>
                <w:sz w:val="28"/>
                <w:szCs w:val="28"/>
                <w:color w:val="auto"/>
                <w:vertAlign w:val="superscript"/>
              </w:rPr>
              <w:t>(2)</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Treasurer, and Secretary</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2025</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6"/>
              </w:rPr>
              <w:t>$ 109,514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vMerge w:val="continue"/>
            <w:shd w:val="clear" w:color="auto" w:fill="CCEEFF"/>
          </w:tcPr>
          <w:p>
            <w:pPr>
              <w:spacing w:after="0"/>
              <w:rPr>
                <w:sz w:val="19"/>
                <w:szCs w:val="19"/>
                <w:color w:val="auto"/>
              </w:rPr>
            </w:pP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$ 227,181</w:t>
            </w:r>
          </w:p>
        </w:tc>
        <w:tc>
          <w:tcPr>
            <w:tcW w:w="0" w:type="dxa"/>
            <w:vAlign w:val="bottom"/>
          </w:tcPr>
          <w:p>
            <w:pPr>
              <w:spacing w:after="0"/>
              <w:rPr>
                <w:sz w:val="1"/>
                <w:szCs w:val="1"/>
                <w:color w:val="auto"/>
              </w:rPr>
            </w:pPr>
          </w:p>
        </w:tc>
      </w:tr>
      <w:tr>
        <w:trPr>
          <w:trHeight w:val="217"/>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Gallagher</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2025</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16"/>
                <w:szCs w:val="16"/>
                <w:color w:val="auto"/>
              </w:rPr>
              <w:t xml:space="preserve">$ 261,096 </w:t>
            </w:r>
            <w:r>
              <w:rPr>
                <w:rFonts w:ascii="Times New Roman" w:cs="Times New Roman" w:eastAsia="Times New Roman" w:hAnsi="Times New Roman"/>
                <w:sz w:val="25"/>
                <w:szCs w:val="25"/>
                <w:color w:val="auto"/>
                <w:vertAlign w:val="superscript"/>
              </w:rPr>
              <w:t>(3)</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$ 261,096</w:t>
            </w:r>
          </w:p>
        </w:tc>
        <w:tc>
          <w:tcPr>
            <w:tcW w:w="0" w:type="dxa"/>
            <w:vAlign w:val="bottom"/>
          </w:tcPr>
          <w:p>
            <w:pPr>
              <w:spacing w:after="0"/>
              <w:rPr>
                <w:sz w:val="1"/>
                <w:szCs w:val="1"/>
                <w:color w:val="auto"/>
              </w:rPr>
            </w:pPr>
          </w:p>
        </w:tc>
      </w:tr>
      <w:tr>
        <w:trPr>
          <w:trHeight w:val="203"/>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Former Chief Executive Officer, President,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$ 564,167 </w:t>
            </w:r>
            <w:r>
              <w:rPr>
                <w:rFonts w:ascii="Times New Roman" w:cs="Times New Roman" w:eastAsia="Times New Roman" w:hAnsi="Times New Roman"/>
                <w:sz w:val="28"/>
                <w:szCs w:val="28"/>
                <w:color w:val="auto"/>
                <w:vertAlign w:val="superscript"/>
              </w:rPr>
              <w:t>(4)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Secretary, and Treasurer</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2024</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vMerge w:val="continue"/>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$ 564,167</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26, 2025, Alexander Matina was appointed as the Company’s Chief Executive Officer, President, Treasurer, and Secretary.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 2025, Mr. Matina was granted an award of 67,786 restricted stock units as part of his annual non-employee director compensation. In 2025, Mr. Matina also received an aggregate of $105,000 in cash for his service as a non-employee director prior to his appointment as Chief Executive Officer. As part of his employment agreement, Mr. Matina also received a health benefits stipend of $4,000 a month, totaling $12,667 in 2025.</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billed by M3 Advisory Partners, LP (“M3 Partners”) to the Company for Mr. Gallagher’s services in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billed by M3 Partners to the Company for Mr. Gallagher’s services in 2024 and included $100,111 for Mr. Gallagher’s services during the bankruptcy in accordance with the terms of M3 Partners’ engagement by the Equity Committee. See “Engagement Agreements with M3 Partners – Arrangement with William Gallagher” below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provides additional information regarding the compensation arrangements of our named executive officers for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Chief Executive Officer – Alexander C. Matina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September 26, 2025, the Board appointed Alexander C. Matina as Chief Executive Officer, President, Treasurer, and Secretary of the Company. Mr. Matina continues to serve on the Board following his appointment and will also serve as the “principal financial officer” of the Company for Securities Exchange Commission purposes. Pursuant to the employment agreement entered into between the Company and Mr. Matina effective September 26, 2025, Mr. Matina will receive (i) an annual base salary of $415,000, (ii) an annual grant of RSUs with a fair market value of $50,000 so long as he remains Chief Executive Officer, (iii) an annual grant of RSUs with a fair market value of $100,000, for so long as he remains a member of the Board, and (iv) reimbursement for outside healthcare costs in the amount of $4,000 per month. Mr. Matina is also eligible to receive an annual bonus in the sole discretion of the Board. Mr. Matina will not receive any compensation in connection with his service as a member of the Board in excess of the compensation provided 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Agreement with M3 Partners – Arrangement with William Gallagher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bankruptcy, the Equity Committee engaged M3 Partners to provide certain services, including consulting and advisory services provided by William Gallagher. Upon emergence from bankruptcy, the Company engaged M3 Partners to provide executive management and support services pursuant to the terms of the M3 Engagement Letter, effective as of March 15, 2024. Under the terms of the M3 Engagement Letter, the Company agreed to retain M3 to provide Mr. Gallagher to serve as Chief Executive Officer, President, Treasurer, and Secretary of the Company, a role he served in until he was succeeded by Alexander Matina effective September 26, 2025. Mr. Gallagher has been, and will remain, employed by M3 Partners and provides his services pursuant to the M3 Engagement Letter.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M3 Engagement Letter, M3 Partners is entitled to non-refundable professional fees based on the actual hours incurred by M3 personnel on matters pertinent to the engagement. Such fees are based upon the hourly rates as set forth in the M3 Engagement Letter, depending on the title of the applicable M3 Partners personnel. Under the terms of the M3 Engagement Letter, the hourly rate attributable to Mr. Gallagher as a Managing Director of M3 Partners was $1,075-$1,205 per hour. For 2024, the hourly rate attributable to Mr. Gallagher was $1,205 per hour. M3 Partners furnishes the Company with monthly invoices in respect of unbilled service fees accrued, and the Company is required to pay such amounts within five days after the date of service of the relevant invoice.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engagement of M3 Partners by the Company may be terminated by either party at any time upon ten business days’ written notice. Following any such termination, neither party will have further liability to the other, except with respect to fees and expenses earned and incurred through the date of termination and any provisions of the M3 Engagement Letter which are expressly stated to survive its termination or expiration.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of Alexander Matina, the Company entered into an amended and restated engagement letter (the “Amended M3 Engagement Letter”) with M3 Partners to reflect that William Gallagher would no longer be serving in the role of Chief Executive Officer of the Company. The Amended M3 Engagement Letter provides that M3 Partners will continue to provide support to the Company (including, without limitation, a litigation trustee) in evaluating and managing its operations, assets and liabilities, and such other services as M3 Partners and the Company otherwise agree in writing.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13. Certain Relationships and Related Transactions, and Director Independence - Certain Relationships and Related Party Transactions below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 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relating to outstanding equity awards for each named executive officer outstanding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Number of Shares or</w:t>
            </w:r>
          </w:p>
        </w:tc>
        <w:tc>
          <w:tcPr>
            <w:tcW w:w="120" w:type="dxa"/>
            <w:vAlign w:val="bottom"/>
          </w:tcPr>
          <w:p>
            <w:pPr>
              <w:spacing w:after="0"/>
              <w:rPr>
                <w:sz w:val="19"/>
                <w:szCs w:val="19"/>
                <w:color w:val="auto"/>
              </w:rPr>
            </w:pP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Market Value of Shares</w:t>
            </w:r>
          </w:p>
        </w:tc>
      </w:tr>
      <w:tr>
        <w:trPr>
          <w:trHeight w:val="216"/>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9"/>
              </w:rPr>
              <w:t>Units of Stock that have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 Units of Stock that</w:t>
            </w:r>
          </w:p>
        </w:tc>
      </w:tr>
      <w:tr>
        <w:trPr>
          <w:trHeight w:val="216"/>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8"/>
              </w:rPr>
              <w:t>not Vested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have not Vested</w:t>
            </w:r>
          </w:p>
        </w:tc>
      </w:tr>
      <w:tr>
        <w:trPr>
          <w:trHeight w:val="283"/>
        </w:trPr>
        <w:tc>
          <w:tcPr>
            <w:tcW w:w="666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center"/>
              <w:ind w:right="30"/>
              <w:spacing w:after="0" w:line="284"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(1)</w:t>
            </w:r>
          </w:p>
        </w:tc>
        <w:tc>
          <w:tcPr>
            <w:tcW w:w="100" w:type="dxa"/>
            <w:vAlign w:val="bottom"/>
            <w:tcBorders>
              <w:bottom w:val="single" w:sz="8" w:color="CCEEFF"/>
            </w:tcBorders>
          </w:tcPr>
          <w:p>
            <w:pPr>
              <w:spacing w:after="0"/>
              <w:rPr>
                <w:sz w:val="24"/>
                <w:szCs w:val="24"/>
                <w:color w:val="auto"/>
              </w:rPr>
            </w:pPr>
          </w:p>
        </w:tc>
      </w:tr>
      <w:tr>
        <w:trPr>
          <w:trHeight w:val="237"/>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C. Matina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89,761</w:t>
            </w:r>
          </w:p>
        </w:tc>
        <w:tc>
          <w:tcPr>
            <w:tcW w:w="3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91"/>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130,153</w:t>
            </w:r>
          </w:p>
        </w:tc>
      </w:tr>
      <w:tr>
        <w:trPr>
          <w:trHeight w:val="216"/>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Gallagher</w:t>
            </w:r>
          </w:p>
        </w:tc>
        <w:tc>
          <w:tcPr>
            <w:tcW w:w="222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$1.45 per share, which was the closing market price per share of the Class A common stock as reported on the OTC Pink on December 31, 2025.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21,975 and 67,786 shares underlying RSU grants dated as of May 13, 2024 and January 2, 2025, respectively. The vesting dates of the outstanding RSU awards granted to Mr. Matina are as follows, subject to the terms of the applicable RSU Agreement: 4,395 shares on each of January 31, 2026, April 30, 2026, July 30, 2026, October 30, 2026 and January 30, 2027 pursuant to the RSU grant dated as of May 13, 2024, and 33,893 shares on each of January 2, 2026 and 2027, respectively, pursuant to the RSU grant dated as of January 2, 2025.</w:t>
      </w:r>
    </w:p>
    <w:p>
      <w:pPr>
        <w:spacing w:after="0" w:line="179"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4, 2024, upon the recommendation of the Compensation Committee and Lyons, Benenson &amp; Company Inc. (“LB&amp;Co”), the compensation consultant engaged by the Compensation Committee, the Board adopted the following updated director compensation program (which was made effective retroactive to the date Board service began on March 14, 2024):</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$140,000 per year, payable $35,000 quarterly in advance ($210,000 for Chairman, payable $52,500 quarterly in advance)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Annual RSU grant with a fair market value of $100,000 ($150,000 for Chairman), vesting in equal tranches on the first two anniversaries of the grant date, subject to acceleration in connection with a change in control. The grant date is the first trading day in January of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may elect to defer receipt of shares upon the earliest to occur of (i) five years from the grant date, (ii) a change in control or (iii) a separation of service. A director’s affirmative irrevocable election must be made in the calendar year prior to the grant.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paid by us to each of our non-employee directors who served during the year ended December 31, 2025. Compensation that Mr. Matina received for his service as a director in 2025 prior to his appointment as Chief Executive Officer has been reported in the Summary Compensation Table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60" w:type="dxa"/>
            <w:vAlign w:val="bottom"/>
            <w:gridSpan w:val="2"/>
          </w:tcPr>
          <w:p>
            <w:pPr>
              <w:ind w:left="300"/>
              <w:spacing w:after="0" w:line="184" w:lineRule="exact"/>
              <w:rPr>
                <w:sz w:val="20"/>
                <w:szCs w:val="20"/>
                <w:color w:val="auto"/>
              </w:rPr>
            </w:pPr>
            <w:r>
              <w:rPr>
                <w:rFonts w:ascii="Times New Roman" w:cs="Times New Roman" w:eastAsia="Times New Roman" w:hAnsi="Times New Roman"/>
                <w:sz w:val="18"/>
                <w:szCs w:val="18"/>
                <w:b w:val="1"/>
                <w:bCs w:val="1"/>
                <w:color w:val="auto"/>
              </w:rPr>
              <w:t>Option</w:t>
            </w:r>
          </w:p>
        </w:tc>
        <w:tc>
          <w:tcPr>
            <w:tcW w:w="1420" w:type="dxa"/>
            <w:vAlign w:val="bottom"/>
            <w:gridSpan w:val="2"/>
          </w:tcPr>
          <w:p>
            <w:pPr>
              <w:jc w:val="right"/>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Compensation</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3"/>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Awards </w:t>
            </w: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w:t>
            </w:r>
            <w:r>
              <w:rPr>
                <w:rFonts w:ascii="Times New Roman" w:cs="Times New Roman" w:eastAsia="Times New Roman" w:hAnsi="Times New Roman"/>
                <w:sz w:val="29"/>
                <w:szCs w:val="29"/>
                <w:b w:val="1"/>
                <w:bCs w:val="1"/>
                <w:color w:val="auto"/>
                <w:w w:val="94"/>
                <w:vertAlign w:val="superscript"/>
              </w:rPr>
              <w:t>(1)</w:t>
            </w: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Sole</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Wartell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84,055</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224,055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Weiner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140,000</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84,055</w:t>
            </w:r>
          </w:p>
        </w:tc>
        <w:tc>
          <w:tcPr>
            <w:tcW w:w="14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224,055</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Alexandre Zyngier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84,055</w:t>
            </w: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224,055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FASB ASC Topic 718. For 2025, the Chairman received an RSU grant with a fair market value of $174,082, comprised of (i) $24,082 for the retroactive equity fees owed for 2024 and (ii) $150,000 for 2025. For 2025, the other directors received an RSU grant with a fair market value of $84,055, with the remaining portion of the May 2024 RSU grant to the other directors equal to $15,945 credited against the equity fees owed under the updated director compensation program for 2025. As of December 31, 2025, each non-employee director held the following unvested RSUs: Mr. Sole: 162,364; and Messrs. Wartell, Weiner and Zyngier: 89,761.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Policy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only grant annual equity-based awards of RSUs to our Board in accordance with the “Non-Employee Director Compensation Arrangements” described above. Our current compensation arrangements do not contemplate option awards. The Compensation Committee may consider a modified or updated compensation program, from time to time based on business needs, changing compensation practices or other factors, in the discretion of the Compensation Committee. The Compensation Committee does not take into account material nonpublic information in determining the timing and terms of equity-based awards, and we have not timed the disclosure of material nonpublic information for the purpose of affecting the value of executive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by us regarding the beneficial ownership of our Class A common stock, par value $0.0001 per share (the “Class A common stock”) and our Series A Convertible Preferred Stock, $0.0001 par value (the “Preferred Stock”) as of April 15, 2026, by:</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Class A common stock or the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NEOs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16,096,296 shares of Class A common stock issued and outstanding as of April 16, 2026. As previously indicated, all shares of Class A common stock are presented after giving effect to the 1:15 reverse stock split of the outstanding Class A common stock, which became effective as of 12:01 a.m. Eastern Time on May 24,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the address for each beneficial owner listed below is 1700 Broadway, 19th Floor, New York, NY 10019.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Shares of Class A Common Stock Beneficially Owned</w:t>
            </w:r>
          </w:p>
        </w:tc>
        <w:tc>
          <w:tcPr>
            <w:tcW w:w="0" w:type="dxa"/>
            <w:vAlign w:val="bottom"/>
          </w:tcPr>
          <w:p>
            <w:pPr>
              <w:spacing w:after="0"/>
              <w:rPr>
                <w:sz w:val="1"/>
                <w:szCs w:val="1"/>
                <w:color w:val="auto"/>
              </w:rPr>
            </w:pPr>
          </w:p>
        </w:tc>
      </w:tr>
      <w:tr>
        <w:trPr>
          <w:trHeight w:val="223"/>
        </w:trPr>
        <w:tc>
          <w:tcPr>
            <w:tcW w:w="69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0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Directors and Named Executive Officers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Alexander Matina</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73,455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Sole</w:t>
            </w:r>
            <w:r>
              <w:rPr>
                <w:rFonts w:ascii="Times New Roman" w:cs="Times New Roman" w:eastAsia="Times New Roman" w:hAnsi="Times New Roman"/>
                <w:sz w:val="29"/>
                <w:szCs w:val="29"/>
                <w:color w:val="auto"/>
                <w:vertAlign w:val="superscript"/>
              </w:rPr>
              <w:t>(2)</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872,757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Wartell</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180,003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Neil Weiner</w:t>
            </w:r>
            <w:r>
              <w:rPr>
                <w:rFonts w:ascii="Times New Roman" w:cs="Times New Roman" w:eastAsia="Times New Roman" w:hAnsi="Times New Roman"/>
                <w:sz w:val="29"/>
                <w:szCs w:val="29"/>
                <w:color w:val="auto"/>
                <w:vertAlign w:val="superscript"/>
              </w:rPr>
              <w:t>(1)(3)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730,168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Alexandre Zyngier</w:t>
            </w:r>
            <w:r>
              <w:rPr>
                <w:rFonts w:ascii="Times New Roman" w:cs="Times New Roman" w:eastAsia="Times New Roman" w:hAnsi="Times New Roman"/>
                <w:sz w:val="29"/>
                <w:szCs w:val="29"/>
                <w:color w:val="auto"/>
                <w:vertAlign w:val="superscript"/>
              </w:rPr>
              <w:t>(1)(4)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355,511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Gallagher</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940" w:type="dxa"/>
            <w:vAlign w:val="bottom"/>
            <w:gridSpan w:val="2"/>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All Current Directors and Executive Officers, as a group (5 individuals)</w:t>
            </w:r>
            <w:r>
              <w:rPr>
                <w:rFonts w:ascii="Times New Roman" w:cs="Times New Roman" w:eastAsia="Times New Roman" w:hAnsi="Times New Roman"/>
                <w:sz w:val="21"/>
                <w:szCs w:val="21"/>
                <w:b w:val="1"/>
                <w:bCs w:val="1"/>
                <w:color w:val="auto"/>
                <w:vertAlign w:val="superscript"/>
              </w:rPr>
              <w:t>(5)</w:t>
            </w:r>
          </w:p>
        </w:tc>
        <w:tc>
          <w:tcPr>
            <w:tcW w:w="2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2,211,894</w:t>
            </w:r>
          </w:p>
        </w:tc>
        <w:tc>
          <w:tcPr>
            <w:tcW w:w="20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6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gridSpan w:val="2"/>
            <w:vMerge w:val="continue"/>
          </w:tcPr>
          <w:p>
            <w:pPr>
              <w:spacing w:after="0"/>
              <w:rPr>
                <w:sz w:val="10"/>
                <w:szCs w:val="10"/>
                <w:color w:val="auto"/>
              </w:rPr>
            </w:pPr>
          </w:p>
        </w:tc>
        <w:tc>
          <w:tcPr>
            <w:tcW w:w="2060" w:type="dxa"/>
            <w:vAlign w:val="bottom"/>
            <w:gridSpan w:val="2"/>
          </w:tcPr>
          <w:p>
            <w:pPr>
              <w:jc w:val="right"/>
              <w:ind w:right="160"/>
              <w:spacing w:after="0" w:line="81" w:lineRule="exact"/>
              <w:rPr>
                <w:sz w:val="20"/>
                <w:szCs w:val="20"/>
                <w:color w:val="auto"/>
              </w:rPr>
            </w:pPr>
            <w:r>
              <w:rPr>
                <w:rFonts w:ascii="Times New Roman" w:cs="Times New Roman" w:eastAsia="Times New Roman" w:hAnsi="Times New Roman"/>
                <w:sz w:val="9"/>
                <w:szCs w:val="9"/>
                <w:color w:val="auto"/>
              </w:rPr>
              <w:t>13.4</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Five Percent Holders</w:t>
            </w:r>
          </w:p>
        </w:tc>
        <w:tc>
          <w:tcPr>
            <w:tcW w:w="1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Hai Precision Industry Co., Ltd.</w:t>
            </w:r>
            <w:r>
              <w:rPr>
                <w:rFonts w:ascii="Times New Roman" w:cs="Times New Roman" w:eastAsia="Times New Roman" w:hAnsi="Times New Roman"/>
                <w:sz w:val="29"/>
                <w:szCs w:val="29"/>
                <w:color w:val="auto"/>
                <w:vertAlign w:val="superscript"/>
              </w:rPr>
              <w:t>(6)</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2,696,796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sz w:val="20"/>
          <w:szCs w:val="20"/>
          <w:color w:val="auto"/>
        </w:rPr>
      </w:pPr>
    </w:p>
    <w:p>
      <w:pPr>
        <w:jc w:val="both"/>
        <w:ind w:left="340" w:hanging="332"/>
        <w:spacing w:after="0" w:line="22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39,562 and 33,893 shares of Class A common stock underlying RSUs that vest within 60 days. The settlement of these RSUs will be within ten (10) days following the earliest to occur of the following events: (a)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grant dates (which were May 13, 2024 and January 2, 2025, respectively), (b) a “change in control event” with respect to the Company, as determined in accordance with Treas. Reg. 1.409A-3(i)</w:t>
      </w:r>
    </w:p>
    <w:p>
      <w:pPr>
        <w:spacing w:after="0" w:line="2" w:lineRule="exact"/>
        <w:rPr>
          <w:rFonts w:ascii="Times New Roman" w:cs="Times New Roman" w:eastAsia="Times New Roman" w:hAnsi="Times New Roman"/>
          <w:sz w:val="18"/>
          <w:szCs w:val="18"/>
          <w:color w:val="auto"/>
        </w:rPr>
      </w:pP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applying the default provisions or (c) the director’s “separation from service” from the Company, as determined under Section 409A of the Internal Revenue Code.</w:t>
      </w:r>
    </w:p>
    <w:p>
      <w:pPr>
        <w:spacing w:after="0" w:line="208"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332" w:hanging="332"/>
        <w:spacing w:after="0" w:line="226"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39,562 and 70,195 shares of Class A common stock underlying RSUs that vest within 60 days. The settlement of these RSUs will be within ten (10) days following the earliest to occur of the following events: (a)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grant dates (which were May 13, 2024 and January 2, 2025, respectively), (b) a “change in control event” with respect to the Company, as determined in accordance with Treas. Reg. 1.409A-3(i)</w:t>
      </w:r>
    </w:p>
    <w:p>
      <w:pPr>
        <w:spacing w:after="0" w:line="2" w:lineRule="exact"/>
        <w:rPr>
          <w:rFonts w:ascii="Times New Roman" w:cs="Times New Roman" w:eastAsia="Times New Roman" w:hAnsi="Times New Roman"/>
          <w:sz w:val="18"/>
          <w:szCs w:val="18"/>
          <w:color w:val="auto"/>
        </w:rPr>
      </w:pPr>
    </w:p>
    <w:p>
      <w:pPr>
        <w:jc w:val="both"/>
        <w:ind w:left="33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applying the default provisions or (c) the director’s “separation from service” from the Company, as determined under Section 409A of the Internal Revenue Code. Also includes 763,000 shares of Class A common stock owned by Esopus Creek Value Series Fund LP – Series A, and of which Esopus Creek Advisors LLC is the general partner. Mr. Sole is the sole managing member and principal of Esopus Creek Advisors LLC. Mr. Sole disclaims beneficial ownership of these securities except to the extent of his pecuniary interest therein.</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656,713 shares of Class A common stock owned by Foxhill Family Partnership, LP. Mr. Weiner is the president of the general partner of Foxhill Family Partnership, LP and, by virtue of such position, has voting and dispositive power over the securities held by it. Mr. Weiner disclaims beneficial ownership of these securities except to the extent of his pecuniary interest therein.</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282,056 shares of Class A common stock owned by HZ Investments LLC. Mr. Zyngier is the managing member of HZ Investments LLC and, by virtue of such position, has voting and dispositive power over the securities held by it. Mr. Zyngier disclaims beneficial ownership of these securities except to the extent of his pecuniary interest therein.</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26"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197,810 and 205,767 shares of Class A common stock underlying RSUs that vest within 60 days. The settlement of these RSUs will be within ten (10) days following the earliest to occur of the following events: (a)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grant dates (which were May 13, 2024 and January 2, 2025, respectively), (b) a “change in control event” with respect to the Company, as determined in accordance with Treas. Reg. 1.409A-3(i)</w:t>
      </w:r>
    </w:p>
    <w:p>
      <w:pPr>
        <w:spacing w:after="0" w:line="2" w:lineRule="exact"/>
        <w:rPr>
          <w:rFonts w:ascii="Times New Roman" w:cs="Times New Roman" w:eastAsia="Times New Roman" w:hAnsi="Times New Roman"/>
          <w:sz w:val="18"/>
          <w:szCs w:val="18"/>
          <w:color w:val="auto"/>
        </w:rPr>
      </w:pPr>
    </w:p>
    <w:p>
      <w:pPr>
        <w:ind w:left="332"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applying the default provisions or (c) the director’s “separation from service” from the Company, as determined under Section 409A of the Internal Revenue Code.</w:t>
      </w:r>
    </w:p>
    <w:p>
      <w:pPr>
        <w:spacing w:after="0" w:line="181"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the Schedule 13D/A filed with the SEC on May 3, 2023 (after giving effect to the 1:15 reverse stock split of the outstanding Class A common stock, which became effective on May 24, 2023) and includes: (i) 861,151 shares of Class A common stock held by Foxconn Ventures Pte. Ltd. (“Foxconn Ventures”) and (ii) 483,210 shares of Class A common stock held by Foxconn (Far East) Limited (“Foxconn Far East”). The amount shown in the table also includes 1,352,435 shares of Class A common stock that would be issuable upon conversion of the 300,000 shares of Preferred Stock held by Foxconn Ventures (including accrued and unpaid dividends) if such shares were converted (and such dividends were paid in kind) as of April 15, 2026. The number of shares of Class A common stock into which the Preferred Stock is convertible at the time of such conversion is subject to the Ownership Limitation (as defined in the Certificate of Designation, Preferences and Rights of Series A Convertible Preferred Stock). Foxconn Far East owns 54.5% of the outstanding equity interests of Foxconn Ventures and controls its board of directors. Each of Foxconn Far East, Foxconn EV Technology, Inc. (“Foxconn EV”), Foxteq Holdings Inc. (“Foxteq Holdings”), Foxteq Integration Inc. (“Foxteq Integration”) and PCE Paragon Solutions Kft. (“PCE”) is a wholly owned subsidiary of Hon Hai Precision Industry Co., Ltd. (“Hon Hai”). In this capacity, Hon Hai exercises shared voting and investment power over the shares held directly or indirectly by Foxconn Ventures, Foxconn Far East, Foxteq Holdings, Foxteq Integration, PCE and Foxconn EV. The principal address of Hon Hai is No. 66, Zhongshan Road, Tucheng Industrial Zone, Tucheng District, New Taipei City, 23680, Taiwan.</w:t>
      </w:r>
    </w:p>
    <w:p>
      <w:pPr>
        <w:spacing w:after="0" w:line="187" w:lineRule="exact"/>
        <w:rPr>
          <w:rFonts w:ascii="Times New Roman" w:cs="Times New Roman" w:eastAsia="Times New Roman" w:hAnsi="Times New Roman"/>
          <w:sz w:val="18"/>
          <w:szCs w:val="18"/>
          <w:color w:val="auto"/>
        </w:rPr>
      </w:pPr>
    </w:p>
    <w:p>
      <w:pPr>
        <w:ind w:left="5532" w:hanging="111"/>
        <w:spacing w:after="0"/>
        <w:tabs>
          <w:tab w:leader="none" w:pos="553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1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the Company’s equity compensation plan. The only plan pursuant to which the Company may currently make additional equity grants is the 2020 Equity Incentive Plan, as amended (the “Equity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900" w:type="dxa"/>
            <w:vAlign w:val="bottom"/>
            <w:gridSpan w:val="2"/>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9"/>
              </w:rPr>
              <w:t>securities remaining</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00" w:type="dxa"/>
            <w:vAlign w:val="bottom"/>
            <w:gridSpan w:val="2"/>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9"/>
              </w:rPr>
              <w:t>available for future</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900" w:type="dxa"/>
            <w:vAlign w:val="bottom"/>
            <w:gridSpan w:val="2"/>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900" w:type="dxa"/>
            <w:vAlign w:val="bottom"/>
            <w:gridSpan w:val="2"/>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900" w:type="dxa"/>
            <w:vAlign w:val="bottom"/>
            <w:gridSpan w:val="2"/>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900" w:type="dxa"/>
            <w:vAlign w:val="bottom"/>
            <w:gridSpan w:val="2"/>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38"/>
        </w:trPr>
        <w:tc>
          <w:tcPr>
            <w:tcW w:w="53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rights (a)</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900" w:type="dxa"/>
            <w:vAlign w:val="bottom"/>
            <w:gridSpan w:val="2"/>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6"/>
              </w:rPr>
              <w:t>(a))</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1,086,801</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1,325,253</w:t>
            </w:r>
          </w:p>
        </w:tc>
        <w:tc>
          <w:tcPr>
            <w:tcW w:w="220" w:type="dxa"/>
            <w:vAlign w:val="bottom"/>
            <w:tcBorders>
              <w:top w:val="single" w:sz="8" w:color="CCEEFF"/>
            </w:tcBorders>
            <w:shd w:val="clear" w:color="auto" w:fill="CCEEFF"/>
          </w:tcPr>
          <w:p>
            <w:pPr>
              <w:spacing w:after="0"/>
              <w:rPr>
                <w:sz w:val="18"/>
                <w:szCs w:val="18"/>
                <w:color w:val="auto"/>
              </w:rPr>
            </w:pPr>
          </w:p>
        </w:tc>
      </w:tr>
      <w:tr>
        <w:trPr>
          <w:trHeight w:val="27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90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775,110</w:t>
            </w:r>
            <w:r>
              <w:rPr>
                <w:rFonts w:ascii="Times New Roman" w:cs="Times New Roman" w:eastAsia="Times New Roman" w:hAnsi="Times New Roman"/>
                <w:sz w:val="29"/>
                <w:szCs w:val="29"/>
                <w:color w:val="auto"/>
                <w:vertAlign w:val="superscript"/>
              </w:rPr>
              <w:t>(1)</w:t>
            </w:r>
          </w:p>
        </w:tc>
      </w:tr>
      <w:tr>
        <w:trPr>
          <w:trHeight w:val="263"/>
        </w:trPr>
        <w:tc>
          <w:tcPr>
            <w:tcW w:w="5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1,086,801</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2,100,363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(2)</w:t>
            </w:r>
          </w:p>
        </w:tc>
      </w:tr>
      <w:tr>
        <w:trPr>
          <w:trHeight w:val="20"/>
        </w:trPr>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Plan, on March 14, 2024, the Board approved, adopted and ratified an amendment to the Equity Incentive Plan, as amended, to increase the number of shares of Class A common stock reserved for issuance thereunder by 775,110 shares from an aggregate of 2,224,890 shares to an aggregate of 3,000,000 shares (inclusive of the 358,224 shares underlying awards that were initially granted under the Lordstown Motors Corp.’s 2019 Equity Incentive Plan and converted into awards under the Equity Plan upon the closing of the Company’s business combination with Lordstown Motors Corp.).</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Company’s stockholders approved an amendment to the Equity Incentive Plan to increase the number of shares of Class A common stock reserved for awards under such plan by 1,000,000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Foxconn Transactions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years prior to the Company’s filing for bankruptcy protection, 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 Foxconn’s beneficial ownership of Class A common stock exceeded 5% as of November 2022 causing Foxconn to become a related party. See Part I – Item 1 – Business – Foxconn Transactions and Note 8 – Commitments and Contingencies of the Annual Report on Form 10-K for the year ended December 31, 2025 for additional information regarding the terms and status of the Foxconn Transactions. For the year ended December 31, 2025, the Company made no payments, and had no amounts payable, to Foxconn.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Engagement Letter to M3 Partners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William Gallagher, who served as the Company’s Chief Executive Officer from the Effective Date until September 26, 2025, is a principal of M3 Partners. M3 Partners served as the Equity Committee’s financial consultant during the bankruptcy proceedings. Upon emergence from bankruptcy, the Company engaged M3 Partners to provide executive management and support services pursuant to the terms of the Engagement Agreement. While serving as the Company’s Chief Executive Officer, Mr. Gallagher remained employed by M3 Partners and provided his services pursuant to the Engagement Agreement. In connection with the appointment of Alexander Matina as the Company’s Chief Executive Officer on September 26, 2025, the Company entered into the Amended Engagement Agreement with M3 Partners to reflect that William Gallagher would no longer be serving in the role of Chief Executive Officer of the Company. The Amended M3 Engagement Letter provides that M3 Partners will continue to provide support to the Company, including a litigation trustee, in evaluating and managing its operations, assets and liabilities, and such other services as M3 Partners and the Company otherwise agree in writing.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Amended Engagement Agreement, M3 Partners’ fees are calculated on an hourly basis. The Company incurred approximately $0.9 million in fees payable to M3 Partners under the Engagement Agreement and Amended Engagement Agreement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Board has adopted a Related Party Transaction Policy that sets forth policies and procedures for the review and approval or ratification of any transaction, arrangement or relationship, or any series of similar transactions, arrangements or relationships in which any executive officer, director or nominee for director, any shareholder beneficially owning 5% or more of any class of the Company’s voting securities, or an immediate family member of any such person, or any entity that is controlled by any of the foregoing persons, had, has or will have a direct or indirect material interest that would need to be disclosed under Item 404(a) of Regulation S-K (a “Related Party Transaction”), including any material amendment or modification to an existing Related Party Transaction. Pursuant to this policy, the Audit Committee reviews and approves any proposed Related Party Transaction, considering, among other factors, whether the Related Party Transaction is fair to the Company and is proposed to be, or was, entered into on terms no less favorable to the Company than terms that could have been reached with an unrelated third party and whether the Related Party Transaction would present an improper conflict of interests for any director or executive officer of the Company, taking into account the size of the transaction, the overall financial position of the director, executive officer or related party, the direct or indirect nature of the director’s, executive officer’s or related party’s interest in the transaction and the ongoing nature of any proposed relationship. The Audit Committee may then approve or disapprove the transaction in its discretion. Any Related Party Transaction will be disclosed in the applicable SEC filing as required by the rules of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the current non-employee directors qualify as independent directors under the NASDAQ Rules and SEC regulations, as applicable, for purposes of serving as a director and a member of the committee on which such director 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Accountant’s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17, 2024, the Audit Committee approved the appointment of BDO USA, P.C. (“BDO”) as the Company’s new independent registered public accounting firm for the year ended December 31, 2024. The following table presents the fees for professional services rendered by BDO for the audit of our annual financial statements for the years ended December 31, 2025 and December 31, 2024, and the fees billed for other services rendered by BDO during that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The aggregate audit fees (inclusive of out-of-pocket expenses) billed by BDO were for professional services rendered for the audit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financial statements and internal control over financial reporting, review of financial statements included in our Annual Report on Form 10-K and Quarterly Reports on Form 10-Q filed with the SEC, and for services that are normally provided by the independent registered public accounting firm in connection with statutory and regulatory filings or engagements.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fees set forth in the table above were pre-approved by the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 and Non-Audit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established a policy to review and approve the engagement of our independent registered public accounting firm to perform audit services and any permissible non-audit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No financial statement or supplemental data are filed with this Amendment No.1. See the Index to Financial Statements of the Original Form 10-K.</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20" w:type="dxa"/>
            <w:vAlign w:val="bottom"/>
            <w:gridSpan w:val="16"/>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Third Modified First Amended Joint Chapter 11 Plan of Lordstown Motors Corp. and Its Affiliated Debtors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Exhibit 2.1 to the Company’s Current Report on Form 8-K filed with the SEC on March 7, 2024)</w:t>
              </w:r>
            </w:hyperlink>
          </w:p>
        </w:tc>
        <w:tc>
          <w:tcPr>
            <w:tcW w:w="314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Asset Purchase Agreement, dated September 29, 2023, among Lordstown Motors Corp., Lordstown EV Corporation, Lordstown EV Sales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LLC, LAS Capital LLC and Stephen S. Burns (incorporated by reference to the Company’s Current Report on Form 8-K filed with the SEC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on September 29, 2023)</w:t>
              </w:r>
            </w:hyperlink>
          </w:p>
        </w:tc>
        <w:tc>
          <w:tcPr>
            <w:tcW w:w="840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Third Amended and Restated Certificate of Incorporation (incorporated by reference to Exhibit 3.1 to the Company’s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8-K filed with the SEC on March 15, 2024).</w:t>
              </w:r>
            </w:hyperlink>
          </w:p>
        </w:tc>
        <w:tc>
          <w:tcPr>
            <w:tcW w:w="65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Certificate of Amendment of the Third Amended and Restated Certificate of Incorporation (incorporated by reference to Exhibit 3.2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Company’s Annual Report on Form 10-K for the year ended December 31, 2025, filed with the SEC on March 26, 2026).</w:t>
              </w:r>
            </w:hyperlink>
          </w:p>
        </w:tc>
        <w:tc>
          <w:tcPr>
            <w:tcW w:w="13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Second Amended and Restated Bylaws (incorporated by reference to Exhibit 3.2 to the Company’s Current Report on Form 8-K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the SEC on March 15, 2024).</w:t>
              </w:r>
            </w:hyperlink>
          </w:p>
        </w:tc>
        <w:tc>
          <w:tcPr>
            <w:tcW w:w="802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Designation, Preferences and Rights of Series A Convertible Preferred Stock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Current Report on Form 8-K, filed with the SEC on November 22, 2022)</w:t>
              </w:r>
            </w:hyperlink>
          </w:p>
        </w:tc>
        <w:tc>
          <w:tcPr>
            <w:tcW w:w="4880" w:type="dxa"/>
            <w:vAlign w:val="bottom"/>
            <w:gridSpan w:val="1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Description of Class A Common Stock (incorporated by reference to Exhibit 4.01 of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year ended December 31, 2024, filed with the SEC on March 28,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Employment Agreement, dated as of September 26, 2025, by and between Nu Ride Inc. and Alexander Matina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Exhibit 10.2 to the Company’s Current Report on Form 8-K, filed with the SEC on September 26, 2025)</w:t>
              </w:r>
            </w:hyperlink>
          </w:p>
        </w:tc>
        <w:tc>
          <w:tcPr>
            <w:tcW w:w="25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Nu Ride Inc. Amended and Restated 2020 Equity Incentive Plan as amended (incorporated by reference to the Company’s Current Report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on Form 8-K, filed with the SEC on December 16, 2025)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Restricted Stock Award Agreement for Directors (incorporated by reference to Exhibit 10.2 of the Company’s Quarterly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Form 10-Q for the quarter ended June 30, 2024, filed with the SEC on August 13, 2024)</w:t>
              </w:r>
            </w:hyperlink>
          </w:p>
        </w:tc>
        <w:tc>
          <w:tcPr>
            <w:tcW w:w="378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Indemnification Agreement for Directors and Executive Officers (incorporated by reference to Exhibit 10.1 of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Quarterly Report on Form 10-Q for the quarter ended June 30, 2024, filed with the SEC on August 13, 2024)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80" w:type="dxa"/>
            <w:vAlign w:val="bottom"/>
            <w:gridSpan w:val="7"/>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Engagement Letter, dated as of September 26, 2025, by and between Nu Ride Inc. and M3 Partners LP.</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(incorporated by reference to Exhibit 10.1 to the Company’s Current Report on Form 8-K, filed with the SEC on September 26, 2025)</w:t>
              </w:r>
            </w:hyperlink>
          </w:p>
        </w:tc>
        <w:tc>
          <w:tcPr>
            <w:tcW w:w="48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Asset Purchase Agreement, dated November 10, 2021, between Lordstown Motors Corp. and Foxconn (incorporated by reference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Company’s Current Report on Form 8-K filed with the SEC on November 10, 2021)</w:t>
              </w:r>
            </w:hyperlink>
          </w:p>
        </w:tc>
        <w:tc>
          <w:tcPr>
            <w:tcW w:w="4060" w:type="dxa"/>
            <w:vAlign w:val="bottom"/>
            <w:gridSpan w:val="1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Manufacturing Supply Agreement, dated May 11, 2022, between Lordstown EV Corporation and Foxconn EV System LLC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by reference to the Company’s Current Report on Form 8-K, filed with the SEC on May 11, 2022)</w:t>
              </w:r>
            </w:hyperlink>
          </w:p>
        </w:tc>
        <w:tc>
          <w:tcPr>
            <w:tcW w:w="306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Investment Agreement, dated November 7, 2022, between Lordstown Motors Corp. and Foxconn Ventures Pte. Ltd.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reference to the Company’s Current Report on Form 8-K, filed with the SEC on November 7, 2022)</w:t>
              </w:r>
            </w:hyperlink>
          </w:p>
        </w:tc>
        <w:tc>
          <w:tcPr>
            <w:tcW w:w="2940" w:type="dxa"/>
            <w:vAlign w:val="bottom"/>
            <w:gridSpan w:val="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Registration Rights Agreement, dated November 22, 2022, between Lordstown Motors Corp. and Foxconn Ventures Pte. Ltd. (incorporated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by reference to the Company’s Current Report on Form 8-K, filed with the SEC on November 22, 2022)</w:t>
              </w:r>
            </w:hyperlink>
          </w:p>
        </w:tc>
        <w:tc>
          <w:tcPr>
            <w:tcW w:w="26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Settlement Agreement, dated August 14, 2023, among Lordstown Motors Corp., Lordstown EV Corporation, Lordstown EV Sales LLC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9"/>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Karma Automotive LLC (incorporated by reference to the Company’s Current Report on Form 8-K filed with the SEC on August 15, 2023)</w:t>
              </w:r>
            </w:hyperlink>
          </w:p>
        </w:tc>
      </w:tr>
      <w:tr>
        <w:trPr>
          <w:trHeight w:val="48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5"/>
          </w:tcPr>
          <w:p>
            <w:pPr>
              <w:ind w:left="4320"/>
              <w:spacing w:after="0"/>
              <w:rPr>
                <w:sz w:val="20"/>
                <w:szCs w:val="20"/>
                <w:color w:val="auto"/>
              </w:rPr>
            </w:pPr>
            <w:r>
              <w:rPr>
                <w:rFonts w:ascii="Times New Roman" w:cs="Times New Roman" w:eastAsia="Times New Roman" w:hAnsi="Times New Roman"/>
                <w:sz w:val="18"/>
                <w:szCs w:val="18"/>
                <w:color w:val="auto"/>
              </w:rPr>
              <w:t>- 13 -</w:t>
            </w:r>
          </w:p>
        </w:tc>
        <w:tc>
          <w:tcPr>
            <w:tcW w:w="12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Loan and Security Agreement, dated as of January 23, 2026, by and among Foxpoint Florida II, LLC, as borrower, the persons from time-to-</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time party thereto, as lenders, and Nu Ride Inc., as collateral agent (incorporated by reference to Exhibit 10.11 to the Company’s Annual</w:t>
              </w:r>
            </w:hyperlink>
          </w:p>
        </w:tc>
      </w:tr>
      <w:tr>
        <w:trPr>
          <w:trHeight w:val="196"/>
        </w:trPr>
        <w:tc>
          <w:tcPr>
            <w:tcW w:w="1100" w:type="dxa"/>
            <w:vAlign w:val="bottom"/>
          </w:tcPr>
          <w:p>
            <w:pPr>
              <w:spacing w:after="0"/>
              <w:rPr>
                <w:sz w:val="17"/>
                <w:szCs w:val="17"/>
                <w:color w:val="auto"/>
              </w:rPr>
            </w:pPr>
          </w:p>
        </w:tc>
        <w:tc>
          <w:tcPr>
            <w:tcW w:w="7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Report on Form 10-K for the year ended December 31, 2025, filed with the SEC on March 26, 2026).</w:t>
              </w:r>
            </w:hyperlink>
          </w:p>
        </w:tc>
        <w:tc>
          <w:tcPr>
            <w:tcW w:w="282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Nu Ride Inc. Insider Trading Policy (incorporated by reference to Exhibit 19.1 of the Company’s Annual Report on Form 10-K for the year</w:t>
              </w:r>
            </w:hyperlink>
          </w:p>
        </w:tc>
      </w:tr>
      <w:tr>
        <w:trPr>
          <w:trHeight w:val="196"/>
        </w:trPr>
        <w:tc>
          <w:tcPr>
            <w:tcW w:w="1100" w:type="dxa"/>
            <w:vAlign w:val="bottom"/>
          </w:tcPr>
          <w:p>
            <w:pPr>
              <w:spacing w:after="0"/>
              <w:rPr>
                <w:sz w:val="17"/>
                <w:szCs w:val="17"/>
                <w:color w:val="auto"/>
              </w:rPr>
            </w:pPr>
          </w:p>
        </w:tc>
        <w:tc>
          <w:tcPr>
            <w:tcW w:w="4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ended December 31, 2024, filed with the SEC on March 28, 2025).</w:t>
              </w:r>
            </w:hyperlink>
          </w:p>
        </w:tc>
        <w:tc>
          <w:tcPr>
            <w:tcW w:w="530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List of Subsidiaries (incorporated by reference to Exhibit 21.1 of the Company’s Annual Report on Form 10-K for the year ended December</w:t>
              </w:r>
            </w:hyperlink>
          </w:p>
        </w:tc>
      </w:tr>
      <w:tr>
        <w:trPr>
          <w:trHeight w:val="196"/>
        </w:trPr>
        <w:tc>
          <w:tcPr>
            <w:tcW w:w="1100" w:type="dxa"/>
            <w:vAlign w:val="bottom"/>
          </w:tcPr>
          <w:p>
            <w:pPr>
              <w:spacing w:after="0"/>
              <w:rPr>
                <w:sz w:val="17"/>
                <w:szCs w:val="17"/>
                <w:color w:val="auto"/>
              </w:rPr>
            </w:pPr>
          </w:p>
        </w:tc>
        <w:tc>
          <w:tcPr>
            <w:tcW w:w="3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31, 2024, filed with the SEC on March 28, 2025).</w:t>
              </w:r>
            </w:hyperlink>
          </w:p>
        </w:tc>
        <w:tc>
          <w:tcPr>
            <w:tcW w:w="656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Power of Attorney (included on signature page to the Company’s Annual Report on Form 10-K for the year ended December 31, 2025, filed</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with the SEC on March 26, 2026).</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Rule 13a-14(a)/15d-14(a), as adopted pursuant to</w:t>
            </w:r>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72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18 U.S.C. Section 1350, as adopted pursuant to</w:t>
            </w:r>
          </w:p>
        </w:tc>
      </w:tr>
      <w:tr>
        <w:trPr>
          <w:trHeight w:val="196"/>
        </w:trPr>
        <w:tc>
          <w:tcPr>
            <w:tcW w:w="1100" w:type="dxa"/>
            <w:vAlign w:val="bottom"/>
          </w:tcPr>
          <w:p>
            <w:pPr>
              <w:spacing w:after="0"/>
              <w:rPr>
                <w:sz w:val="17"/>
                <w:szCs w:val="17"/>
                <w:color w:val="auto"/>
              </w:rPr>
            </w:pPr>
          </w:p>
        </w:tc>
        <w:tc>
          <w:tcPr>
            <w:tcW w:w="34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72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Lordstown Motors Corp. Clawback Policy (incorporated by reference to Exhibit 97.1 to the Company’s Annual Report on Form 10-K for</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 year ended December 31, 2023, filed with the SEC on February 29,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20" w:type="dxa"/>
            <w:vAlign w:val="bottom"/>
            <w:gridSpan w:val="5"/>
            <w:shd w:val="clear" w:color="auto" w:fill="0000EE"/>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Order (I) Confirming Third Modified First Amended Joint Chapter 11 Plan of Lordstown Motors Corp. and Its Affiliated Debtors and (II)</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Granting Related Relief (incorporated by reference to Exhibit 99.1 to the Company’s Current Report on Form 8-K filed with the SEC on</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March 7, 2024).</w:t>
              </w:r>
            </w:hyperlink>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980" w:type="dxa"/>
            <w:vAlign w:val="bottom"/>
            <w:gridSpan w:val="8"/>
          </w:tcPr>
          <w:p>
            <w:pPr>
              <w:spacing w:after="0" w:line="20" w:lineRule="exact"/>
              <w:rPr>
                <w:sz w:val="1"/>
                <w:szCs w:val="1"/>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1100" w:type="dxa"/>
            <w:vAlign w:val="bottom"/>
          </w:tcPr>
          <w:p>
            <w:pPr>
              <w:spacing w:after="0"/>
              <w:rPr>
                <w:sz w:val="18"/>
                <w:szCs w:val="18"/>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tc>
      </w:tr>
      <w:tr>
        <w:trPr>
          <w:trHeight w:val="234"/>
        </w:trPr>
        <w:tc>
          <w:tcPr>
            <w:tcW w:w="1100" w:type="dxa"/>
            <w:vAlign w:val="bottom"/>
          </w:tcPr>
          <w:p>
            <w:pPr>
              <w:spacing w:after="0"/>
              <w:rPr>
                <w:sz w:val="20"/>
                <w:szCs w:val="20"/>
                <w:color w:val="auto"/>
              </w:rPr>
            </w:pPr>
          </w:p>
        </w:tc>
        <w:tc>
          <w:tcPr>
            <w:tcW w:w="10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will be furnished to the SEC upon request.</w:t>
      </w:r>
    </w:p>
    <w:p>
      <w:pPr>
        <w:spacing w:after="0" w:line="9" w:lineRule="exact"/>
        <w:rPr>
          <w:sz w:val="20"/>
          <w:szCs w:val="20"/>
          <w:color w:val="auto"/>
        </w:rPr>
      </w:pPr>
    </w:p>
    <w:p>
      <w:pPr>
        <w:ind w:right="5880" w:firstLine="8"/>
        <w:spacing w:after="0" w:line="250"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Alexander C. Matina</w:t>
            </w:r>
          </w:p>
        </w:tc>
      </w:tr>
      <w:tr>
        <w:trPr>
          <w:trHeight w:val="198"/>
        </w:trPr>
        <w:tc>
          <w:tcPr>
            <w:tcW w:w="3460" w:type="dxa"/>
            <w:vAlign w:val="bottom"/>
          </w:tcPr>
          <w:p>
            <w:pPr>
              <w:spacing w:after="0"/>
              <w:rPr>
                <w:sz w:val="17"/>
                <w:szCs w:val="17"/>
                <w:color w:val="auto"/>
              </w:rPr>
            </w:pPr>
          </w:p>
        </w:tc>
        <w:tc>
          <w:tcPr>
            <w:tcW w:w="2740" w:type="dxa"/>
            <w:vAlign w:val="bottom"/>
          </w:tcPr>
          <w:p>
            <w:pPr>
              <w:ind w:left="2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Alexander C. Matina</w:t>
            </w:r>
          </w:p>
        </w:tc>
      </w:tr>
      <w:tr>
        <w:trPr>
          <w:trHeight w:val="234"/>
        </w:trPr>
        <w:tc>
          <w:tcPr>
            <w:tcW w:w="3460" w:type="dxa"/>
            <w:vAlign w:val="bottom"/>
          </w:tcPr>
          <w:p>
            <w:pPr>
              <w:spacing w:after="0"/>
              <w:rPr>
                <w:sz w:val="20"/>
                <w:szCs w:val="20"/>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Treasurer, and Secretary</w:t>
            </w:r>
          </w:p>
        </w:tc>
      </w:tr>
      <w:tr>
        <w:trPr>
          <w:trHeight w:val="432"/>
        </w:trPr>
        <w:tc>
          <w:tcPr>
            <w:tcW w:w="3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- 15 -</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C. Matina,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Nu Ride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Alexander C. Matina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C.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Treasurer,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10-K/A of Nu Ride Inc. (the “Company”) for the year ended December 31, 2025, as filed with the Securities and Exchange Commission on the date hereof (the “Report”), I, Alexander C. Matina, Chief Executive Officer, President, Treasurer, and Secretary of the Company, certify, pursuant to 18 U.S.C. Section 1350, as adopted pursuant to Section 906 of the Sarbanes-Oxley Act of 2002, that, to my knowledge:</w:t>
      </w:r>
    </w:p>
    <w:p>
      <w:pPr>
        <w:spacing w:after="0" w:line="180"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580" w:firstLine="8"/>
        <w:spacing w:after="0" w:line="499"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29,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Alexander C. Matina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C. Matina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Treasurer,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1)"/>
      <w:numFmt w:val="lowerRoman"/>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lvl w:ilvl="1">
      <w:lvlJc w:val="left"/>
      <w:lvlText w:val="-"/>
      <w:numFmt w:val="bullet"/>
      <w:start w:val="1"/>
    </w:lvl>
  </w:abstractNum>
  <w:abstractNum w:abstractNumId="10">
    <w:nsid w:val="DED7263"/>
    <w:multiLevelType w:val="hybridMultilevel"/>
    <w:lvl w:ilvl="0">
      <w:lvlJc w:val="left"/>
      <w:lvlText w:val="(%1)"/>
      <w:numFmt w:val="decimal"/>
      <w:start w:val="2"/>
    </w:lvl>
    <w:lvl w:ilvl="1">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lvl w:ilvl="1">
      <w:lvlJc w:val="left"/>
      <w:lvlText w:val="(%2)"/>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25" Type="http://schemas.openxmlformats.org/officeDocument/2006/relationships/hyperlink" Target="https://www.sec.gov/Archives/edgar/data/1759546/000110465924031706/tm248190d1_ex2-1.htm" TargetMode="External"/><Relationship Id="rId26" Type="http://schemas.openxmlformats.org/officeDocument/2006/relationships/hyperlink" Target="https://www.sec.gov/Archives/edgar/data/1759546/000110465923105414/tm2327218d1_ex2-1.htm" TargetMode="External"/><Relationship Id="rId27" Type="http://schemas.openxmlformats.org/officeDocument/2006/relationships/hyperlink" Target="https://www.sec.gov/Archives/edgar/data/1759546/000110465924034627/tm248893d1_ex3-1.htm" TargetMode="External"/><Relationship Id="rId28" Type="http://schemas.openxmlformats.org/officeDocument/2006/relationships/hyperlink" Target="https://www.sec.gov/Archives/edgar/data/1759546/000149315226013005/ex3-2.htm" TargetMode="External"/><Relationship Id="rId29" Type="http://schemas.openxmlformats.org/officeDocument/2006/relationships/hyperlink" Target="https://www.sec.gov/Archives/edgar/data/1759546/000110465924034627/tm248893d1_ex3-2.htm" TargetMode="External"/><Relationship Id="rId30" Type="http://schemas.openxmlformats.org/officeDocument/2006/relationships/hyperlink" Target="https://www.sec.gov/Archives/edgar/data/1759546/000110465922121019/tm2231108d1_ex3-1.htm" TargetMode="External"/><Relationship Id="rId31" Type="http://schemas.openxmlformats.org/officeDocument/2006/relationships/hyperlink" Target="https://www.sec.gov/Archives/edgar/data/1759546/000164117225001195/ex4-1.htm" TargetMode="External"/><Relationship Id="rId32" Type="http://schemas.openxmlformats.org/officeDocument/2006/relationships/hyperlink" Target="https://www.sec.gov/Archives/edgar/data/1759546/000149315225015766/ex10-2.htm" TargetMode="External"/><Relationship Id="rId33" Type="http://schemas.openxmlformats.org/officeDocument/2006/relationships/hyperlink" Target="https://www.sec.gov/Archives/edgar/data/1759546/000149315225027873/ex10-1.htm" TargetMode="External"/><Relationship Id="rId34" Type="http://schemas.openxmlformats.org/officeDocument/2006/relationships/hyperlink" Target="https://www.sec.gov/Archives/edgar/data/1759546/000155837024012064/tmb-20240630xex10d2.htm" TargetMode="External"/><Relationship Id="rId35" Type="http://schemas.openxmlformats.org/officeDocument/2006/relationships/hyperlink" Target="https://www.sec.gov/Archives/edgar/data/1759546/000155837024012064/tmb-20240630xex10d1.htm" TargetMode="External"/><Relationship Id="rId36" Type="http://schemas.openxmlformats.org/officeDocument/2006/relationships/hyperlink" Target="https://www.sec.gov/Archives/edgar/data/1759546/000149315225015766/ex10-1.htm" TargetMode="External"/><Relationship Id="rId37" Type="http://schemas.openxmlformats.org/officeDocument/2006/relationships/hyperlink" Target="https://www.sec.gov/Archives/edgar/data/1759546/000110465921137046/tm2132527d2_ex10-1.htm" TargetMode="External"/><Relationship Id="rId38" Type="http://schemas.openxmlformats.org/officeDocument/2006/relationships/hyperlink" Target="https://www.sec.gov/Archives/edgar/data/1759546/000110465922058868/tm2215185d1_ex10-1.htm" TargetMode="External"/><Relationship Id="rId39" Type="http://schemas.openxmlformats.org/officeDocument/2006/relationships/hyperlink" Target="https://www.sec.gov/Archives/edgar/data/1759546/000110465922115456/tm2229871d1_ex10-1.htm" TargetMode="External"/><Relationship Id="rId40" Type="http://schemas.openxmlformats.org/officeDocument/2006/relationships/hyperlink" Target="https://www.sec.gov/Archives/edgar/data/1759546/000110465922115456/tm2229871d1_ex10-2.htm" TargetMode="External"/><Relationship Id="rId41" Type="http://schemas.openxmlformats.org/officeDocument/2006/relationships/hyperlink" Target="https://www.sec.gov/Archives/edgar/data/1759546/000110465923091748/tm2323666d1_ex10-1.htm" TargetMode="External"/><Relationship Id="rId42" Type="http://schemas.openxmlformats.org/officeDocument/2006/relationships/hyperlink" Target="https://www.sec.gov/Archives/edgar/data/1759546/000149315226013005/ex10-11.htm" TargetMode="External"/><Relationship Id="rId43" Type="http://schemas.openxmlformats.org/officeDocument/2006/relationships/hyperlink" Target="https://www.sec.gov/Archives/edgar/data/1759546/000164117225001195/ex19-1.htm" TargetMode="External"/><Relationship Id="rId44" Type="http://schemas.openxmlformats.org/officeDocument/2006/relationships/hyperlink" Target="https://www.sec.gov/Archives/edgar/data/1759546/000164117225001195/ex21-1.htm" TargetMode="External"/><Relationship Id="rId45" Type="http://schemas.openxmlformats.org/officeDocument/2006/relationships/hyperlink" Target="https://www.sec.gov/Archives/edgar/data/1759546/000149315226013005/form10-k.htm#a_035" TargetMode="External"/><Relationship Id="rId46" Type="http://schemas.openxmlformats.org/officeDocument/2006/relationships/hyperlink" Target="https://www.sec.gov/Archives/edgar/data/1759546/000155837024002081/ride-20231231xex97d1.htm" TargetMode="External"/><Relationship Id="rId47" Type="http://schemas.openxmlformats.org/officeDocument/2006/relationships/hyperlink" Target="https://www.sec.gov/Archives/edgar/data/1759546/000110465924031706/tm248190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2026-04-29T09:24:13Z</dcterms:created>
  <dcterms:modified xsi:type="dcterms:W3CDTF">2026-04-29T09:24:13Z</dcterms:modified>
</cp:coreProperties>
</file>