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2" w:name="xdx_900_edei--DocumentType_dxL_c20250101"/>
      <w:bookmarkEnd w:id="2"/>
      <w:r>
        <w:rPr>
          <w:rFonts w:ascii="Times New Roman;Times;Serif" w:hAnsi="Times New Roman;Times;Serif"/>
          <w:b/>
          <w:i w:val="false"/>
          <w:caps w:val="false"/>
          <w:smallCaps w:val="false"/>
          <w:sz w:val="36"/>
        </w:rPr>
        <w:t>SCHEDULE 14A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 (2))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Section 240.14a-11(c) or Section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2_edei--EntityRegistrantName_c2025"/>
      <w:bookmarkEnd w:id="3"/>
      <w:r>
        <w:rPr>
          <w:rFonts w:ascii="Times New Roman;Times;Serif" w:hAnsi="Times New Roman;Times;Serif"/>
          <w:b/>
          <w:i w:val="false"/>
          <w:caps w:val="false"/>
          <w:smallCaps w:val="false"/>
          <w:sz w:val="36"/>
        </w:rPr>
        <w:t>STARK NOVUS FINANCIAL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245"/>
        <w:gridCol w:w="81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NOVEMBER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Stark Novus Financial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pleased to inform you that the 2026 Annual Meeting of Stockholders (the “2026 Annual Meeting”) of Stark Novus Financial Inc. (formerly Nu Ride Inc.) (the “Company,” “we,” “us” or “our”) will be held on Monday, November 9, 2026, at 12:00 pm New York City time. The 2026 Annual Meeting will be completely virtual and conducted via live audio webcast to enable our stockholders to participate from any location around the world that is convenient to them. You will be able to attend the virtual Annual Meeting online and submit your questions during the virtual Annual Meeting by visiting </w:t>
      </w:r>
      <w:r>
        <w:rPr>
          <w:rFonts w:ascii="Times New Roman;Times;Serif" w:hAnsi="Times New Roman;Times;Serif"/>
          <w:b w:val="false"/>
          <w:i/>
          <w:caps w:val="false"/>
          <w:smallCaps w:val="false"/>
          <w:sz w:val="20"/>
        </w:rPr>
        <w:t>www.virtualshareholdermeeting.com/SNFI2026</w:t>
      </w:r>
      <w:r>
        <w:rPr>
          <w:rFonts w:ascii="Times New Roman;Times;Serif" w:hAnsi="Times New Roman;Times;Serif"/>
          <w:b w:val="false"/>
          <w:i w:val="false"/>
          <w:caps w:val="false"/>
          <w:smallCaps w:val="false"/>
          <w:sz w:val="20"/>
        </w:rPr>
        <w:t>. Stockholders will be able to listen, vote and submit questions during the virtual meeting. The agenda of the 2026 Annual Meeting will be the following items of business, which are more fully described in this proxy statement: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9"/>
        <w:gridCol w:w="8455"/>
        <w:gridCol w:w="60"/>
        <w:gridCol w:w="1521"/>
      </w:tblGrid>
      <w:tr>
        <w:trPr/>
        <w:tc>
          <w:tcPr>
            <w:tcW w:w="8624"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Vote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1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elect two Class II directors to serve for a term of three years and until his respective successor is duly elected and qualified.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tc>
      </w:tr>
      <w:tr>
        <w:trPr/>
        <w:tc>
          <w:tcPr>
            <w:tcW w:w="16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ratify the appointment of BDO USA, P.C. as the independent registered public accounting firm for the fiscal year ending December 31,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tc>
      </w:tr>
      <w:tr>
        <w:trPr/>
        <w:tc>
          <w:tcPr>
            <w:tcW w:w="16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4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business as may properly come before the 2026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stockholders of record as of the close of business on September 15, 2026 are cordially invited to attend the 2026 Annual Meeting virtually. </w:t>
      </w:r>
      <w:r>
        <w:rPr>
          <w:rFonts w:ascii="Times New Roman;Times;Serif" w:hAnsi="Times New Roman;Times;Serif"/>
          <w:b/>
          <w:i w:val="false"/>
          <w:caps w:val="false"/>
          <w:smallCaps w:val="false"/>
          <w:sz w:val="20"/>
        </w:rPr>
        <w:t>Please read this proxy statement carefully to ensure that you have proper evidence of stock ownership as of September 15, 2026. To attend the 2026 Annual Meeting, you must have your control number that is shown on your Notice of Internet Availability (the “Notice of Internet Availability”) or your proxy card.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Whether or not you plan to attend the 2026 Annual Meeting, we encourage you to read the proxy statement and vote as soon as possible. For specific instructions on how to vote your shares, please refer to the section entitled “</w:t>
      </w:r>
      <w:r>
        <w:rPr>
          <w:rFonts w:ascii="Times New Roman;Times;Serif" w:hAnsi="Times New Roman;Times;Serif"/>
          <w:b/>
          <w:i/>
          <w:caps w:val="false"/>
          <w:smallCaps w:val="false"/>
          <w:sz w:val="20"/>
        </w:rPr>
        <w:t>Questions and Answers About the 2026 Annual Meeting and Procedural Matters</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 of Stark Novus Financial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STOCKHOLDER MEETING TO BE HELD ON NOVEMBER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Proxy Statement and Annual Report to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 be available on or about September 16, 2026 on our website at </w:t>
      </w:r>
      <w:r>
        <w:rPr>
          <w:rFonts w:ascii="Times New Roman;Times;Serif" w:hAnsi="Times New Roman;Times;Serif"/>
          <w:b/>
          <w:i/>
          <w:caps w:val="false"/>
          <w:smallCaps w:val="false"/>
          <w:sz w:val="20"/>
        </w:rPr>
        <w:t>www.starknovusfinancial.com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under the Financials &amp; Filings tab or through </w:t>
      </w:r>
      <w:r>
        <w:rPr>
          <w:rFonts w:ascii="Times New Roman;Times;Serif" w:hAnsi="Times New Roman;Times;Serif"/>
          <w:b/>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2026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8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1">
              <w:r>
                <w:rPr>
                  <w:rStyle w:val="InternetLink"/>
                  <w:rFonts w:ascii="Times New Roman;Times;Serif" w:hAnsi="Times New Roman;Times;Serif"/>
                  <w:b w:val="false"/>
                  <w:i w:val="false"/>
                  <w:caps w:val="false"/>
                  <w:smallCaps w:val="false"/>
                  <w:sz w:val="20"/>
                </w:rPr>
                <w:t>QUESTIONS AND ANSWERS ABOUT THE 2026 ANNUAL MEETING AND PROCEDURAL MATTERS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2">
              <w:r>
                <w:rPr>
                  <w:rStyle w:val="InternetLink"/>
                  <w:rFonts w:ascii="Times New Roman;Times;Serif" w:hAnsi="Times New Roman;Times;Serif"/>
                  <w:b w:val="false"/>
                  <w:i w:val="false"/>
                  <w:caps w:val="false"/>
                  <w:smallCaps w:val="false"/>
                  <w:sz w:val="20"/>
                </w:rPr>
                <w:t>PROPOSAL ONE — ELECTION OF DIRECTORS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3">
              <w:r>
                <w:rPr>
                  <w:rStyle w:val="InternetLink"/>
                  <w:rFonts w:ascii="Times New Roman;Times;Serif" w:hAnsi="Times New Roman;Times;Serif"/>
                  <w:b w:val="false"/>
                  <w:i w:val="false"/>
                  <w:caps w:val="false"/>
                  <w:smallCaps w:val="false"/>
                  <w:sz w:val="20"/>
                </w:rPr>
                <w:t>General</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4">
              <w:r>
                <w:rPr>
                  <w:rStyle w:val="InternetLink"/>
                  <w:rFonts w:ascii="Times New Roman;Times;Serif" w:hAnsi="Times New Roman;Times;Serif"/>
                  <w:b w:val="false"/>
                  <w:i w:val="false"/>
                  <w:caps w:val="false"/>
                  <w:smallCaps w:val="false"/>
                  <w:sz w:val="20"/>
                </w:rPr>
                <w:t>Nominees for Class II Director</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5">
              <w:r>
                <w:rPr>
                  <w:rStyle w:val="InternetLink"/>
                  <w:rFonts w:ascii="Times New Roman;Times;Serif" w:hAnsi="Times New Roman;Times;Serif"/>
                  <w:b w:val="false"/>
                  <w:i w:val="false"/>
                  <w:caps w:val="false"/>
                  <w:smallCaps w:val="false"/>
                  <w:sz w:val="20"/>
                </w:rPr>
                <w:t>Information Regarding the Board</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6">
              <w:r>
                <w:rPr>
                  <w:rStyle w:val="InternetLink"/>
                  <w:rFonts w:ascii="Times New Roman;Times;Serif" w:hAnsi="Times New Roman;Times;Serif"/>
                  <w:b w:val="false"/>
                  <w:i w:val="false"/>
                  <w:caps w:val="false"/>
                  <w:smallCaps w:val="false"/>
                  <w:sz w:val="20"/>
                </w:rPr>
                <w:t>DIRECTOR COMPENSATION</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7">
              <w:r>
                <w:rPr>
                  <w:rStyle w:val="InternetLink"/>
                  <w:rFonts w:ascii="Times New Roman;Times;Serif" w:hAnsi="Times New Roman;Times;Serif"/>
                  <w:b w:val="false"/>
                  <w:i w:val="false"/>
                  <w:caps w:val="false"/>
                  <w:smallCaps w:val="false"/>
                  <w:sz w:val="20"/>
                </w:rPr>
                <w:t>CORPORATE GOVERNANCE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a1_001">
              <w:r>
                <w:rPr>
                  <w:rStyle w:val="InternetLink"/>
                  <w:rFonts w:ascii="Times New Roman;Times;Serif" w:hAnsi="Times New Roman;Times;Serif"/>
                  <w:b w:val="false"/>
                  <w:i w:val="false"/>
                  <w:caps w:val="false"/>
                  <w:smallCaps w:val="false"/>
                  <w:sz w:val="20"/>
                </w:rPr>
                <w:t>Governance Role of the Board of Directors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8">
              <w:r>
                <w:rPr>
                  <w:rStyle w:val="InternetLink"/>
                  <w:rFonts w:ascii="Times New Roman;Times;Serif" w:hAnsi="Times New Roman;Times;Serif"/>
                  <w:b w:val="false"/>
                  <w:i w:val="false"/>
                  <w:caps w:val="false"/>
                  <w:smallCaps w:val="false"/>
                  <w:sz w:val="20"/>
                </w:rPr>
                <w:t>Board Leadership Structure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09">
              <w:r>
                <w:rPr>
                  <w:rStyle w:val="InternetLink"/>
                  <w:rFonts w:ascii="Times New Roman;Times;Serif" w:hAnsi="Times New Roman;Times;Serif"/>
                  <w:b w:val="false"/>
                  <w:i w:val="false"/>
                  <w:caps w:val="false"/>
                  <w:smallCaps w:val="false"/>
                  <w:sz w:val="20"/>
                </w:rPr>
                <w:t>Board Role in Risk Oversight</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10">
              <w:r>
                <w:rPr>
                  <w:rStyle w:val="InternetLink"/>
                  <w:rFonts w:ascii="Times New Roman;Times;Serif" w:hAnsi="Times New Roman;Times;Serif"/>
                  <w:b w:val="false"/>
                  <w:i w:val="false"/>
                  <w:caps w:val="false"/>
                  <w:smallCaps w:val="false"/>
                  <w:sz w:val="20"/>
                </w:rPr>
                <w:t>Director Independence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11">
              <w:r>
                <w:rPr>
                  <w:rStyle w:val="InternetLink"/>
                  <w:rFonts w:ascii="Times New Roman;Times;Serif" w:hAnsi="Times New Roman;Times;Serif"/>
                  <w:b w:val="false"/>
                  <w:i w:val="false"/>
                  <w:caps w:val="false"/>
                  <w:smallCaps w:val="false"/>
                  <w:sz w:val="20"/>
                </w:rPr>
                <w:t>Board of Directors Meetings and Attendance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def_012">
              <w:r>
                <w:rPr>
                  <w:rStyle w:val="InternetLink"/>
                  <w:rFonts w:ascii="Times New Roman;Times;Serif" w:hAnsi="Times New Roman;Times;Serif"/>
                  <w:b w:val="false"/>
                  <w:i w:val="false"/>
                  <w:caps w:val="false"/>
                  <w:smallCaps w:val="false"/>
                  <w:sz w:val="20"/>
                </w:rPr>
                <w:t>Committees of the Board</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1">
              <w:r>
                <w:rPr>
                  <w:rStyle w:val="InternetLink"/>
                  <w:rFonts w:ascii="Times New Roman;Times;Serif" w:hAnsi="Times New Roman;Times;Serif"/>
                  <w:b w:val="false"/>
                  <w:i w:val="false"/>
                  <w:caps w:val="false"/>
                  <w:smallCaps w:val="false"/>
                  <w:sz w:val="20"/>
                </w:rPr>
                <w:t>Delinquent Section 16(a) Reports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2">
              <w:r>
                <w:rPr>
                  <w:rStyle w:val="InternetLink"/>
                  <w:rFonts w:ascii="Times New Roman;Times;Serif" w:hAnsi="Times New Roman;Times;Serif"/>
                  <w:b w:val="false"/>
                  <w:i w:val="false"/>
                  <w:caps w:val="false"/>
                  <w:smallCaps w:val="false"/>
                  <w:sz w:val="20"/>
                </w:rPr>
                <w:t>Insider Trading Policy</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13</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3">
              <w:r>
                <w:rPr>
                  <w:rStyle w:val="InternetLink"/>
                  <w:rFonts w:ascii="Times New Roman;Times;Serif" w:hAnsi="Times New Roman;Times;Serif"/>
                  <w:b w:val="false"/>
                  <w:i w:val="false"/>
                  <w:caps w:val="false"/>
                  <w:smallCaps w:val="false"/>
                  <w:sz w:val="20"/>
                </w:rPr>
                <w:t>Clawback Policy</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4">
              <w:r>
                <w:rPr>
                  <w:rStyle w:val="InternetLink"/>
                  <w:rFonts w:ascii="Times New Roman;Times;Serif" w:hAnsi="Times New Roman;Times;Serif"/>
                  <w:b w:val="false"/>
                  <w:i w:val="false"/>
                  <w:caps w:val="false"/>
                  <w:smallCaps w:val="false"/>
                  <w:sz w:val="20"/>
                </w:rPr>
                <w:t>Code of Ethics and Corporate Governance Guidelines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13</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5">
              <w:r>
                <w:rPr>
                  <w:rStyle w:val="InternetLink"/>
                  <w:rFonts w:ascii="Times New Roman;Times;Serif" w:hAnsi="Times New Roman;Times;Serif"/>
                  <w:b w:val="false"/>
                  <w:i w:val="false"/>
                  <w:caps w:val="false"/>
                  <w:smallCaps w:val="false"/>
                  <w:sz w:val="20"/>
                </w:rPr>
                <w:t>PROPOSAL TWO — RATIFICATION OF APPOINTMENT OF BDO AS THE COMPANY’S INDEPENDENT REGISTERED PUBLIC ACCOUNTING FIRM</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14</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6">
              <w:r>
                <w:rPr>
                  <w:rStyle w:val="InternetLink"/>
                  <w:rFonts w:ascii="Times New Roman;Times;Serif" w:hAnsi="Times New Roman;Times;Serif"/>
                  <w:b w:val="false"/>
                  <w:i w:val="false"/>
                  <w:caps w:val="false"/>
                  <w:smallCaps w:val="false"/>
                  <w:sz w:val="20"/>
                </w:rPr>
                <w:t>General</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14</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7">
              <w:r>
                <w:rPr>
                  <w:rStyle w:val="InternetLink"/>
                  <w:rFonts w:ascii="Times New Roman;Times;Serif" w:hAnsi="Times New Roman;Times;Serif"/>
                  <w:b w:val="false"/>
                  <w:i w:val="false"/>
                  <w:caps w:val="false"/>
                  <w:smallCaps w:val="false"/>
                  <w:sz w:val="20"/>
                </w:rPr>
                <w:t>Principal Accounting Fees and Services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14</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8">
              <w:r>
                <w:rPr>
                  <w:rStyle w:val="InternetLink"/>
                  <w:rFonts w:ascii="Times New Roman;Times;Serif" w:hAnsi="Times New Roman;Times;Serif"/>
                  <w:b w:val="false"/>
                  <w:i w:val="false"/>
                  <w:caps w:val="false"/>
                  <w:smallCaps w:val="false"/>
                  <w:sz w:val="20"/>
                </w:rPr>
                <w:t>Pre-Approval of Audit and Non-Audit Services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14</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09">
              <w:r>
                <w:rPr>
                  <w:rStyle w:val="InternetLink"/>
                  <w:rFonts w:ascii="Times New Roman;Times;Serif" w:hAnsi="Times New Roman;Times;Serif"/>
                  <w:b w:val="false"/>
                  <w:i w:val="false"/>
                  <w:caps w:val="false"/>
                  <w:smallCaps w:val="false"/>
                  <w:sz w:val="20"/>
                </w:rPr>
                <w:t>REPORT OF THE AUDIT COMMITTEE</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10">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16</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11">
              <w:r>
                <w:rPr>
                  <w:rStyle w:val="InternetLink"/>
                  <w:rFonts w:ascii="Times New Roman;Times;Serif" w:hAnsi="Times New Roman;Times;Serif"/>
                  <w:b w:val="false"/>
                  <w:i w:val="false"/>
                  <w:caps w:val="false"/>
                  <w:smallCaps w:val="false"/>
                  <w:sz w:val="20"/>
                </w:rPr>
                <w:t>OWNERSHIP OF SECURITIES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17</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a1_002">
              <w:r>
                <w:rPr>
                  <w:rStyle w:val="InternetLink"/>
                  <w:rFonts w:ascii="Times New Roman;Times;Serif" w:hAnsi="Times New Roman;Times;Serif"/>
                  <w:b w:val="false"/>
                  <w:i w:val="false"/>
                  <w:caps w:val="false"/>
                  <w:smallCaps w:val="false"/>
                  <w:sz w:val="20"/>
                </w:rPr>
                <w:t>EXECUTIVE OFFICERS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a1_003">
              <w:r>
                <w:rPr>
                  <w:rStyle w:val="InternetLink"/>
                  <w:rFonts w:ascii="Times New Roman;Times;Serif" w:hAnsi="Times New Roman;Times;Serif"/>
                  <w:b w:val="false"/>
                  <w:i w:val="false"/>
                  <w:caps w:val="false"/>
                  <w:smallCaps w:val="false"/>
                  <w:sz w:val="20"/>
                </w:rPr>
                <w:t>EXECUTIVE COMPENSATION</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12">
              <w:r>
                <w:rPr>
                  <w:rStyle w:val="InternetLink"/>
                  <w:rFonts w:ascii="Times New Roman;Times;Serif" w:hAnsi="Times New Roman;Times;Serif"/>
                  <w:b w:val="false"/>
                  <w:i w:val="false"/>
                  <w:caps w:val="false"/>
                  <w:smallCaps w:val="false"/>
                  <w:sz w:val="20"/>
                </w:rPr>
                <w:t>SECURITIES AUTHORIZED FOR ISSUANCE UNDER EQUITY COMPENSATION PLANS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23</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13">
              <w:r>
                <w:rPr>
                  <w:rStyle w:val="InternetLink"/>
                  <w:rFonts w:ascii="Times New Roman;Times;Serif" w:hAnsi="Times New Roman;Times;Serif"/>
                  <w:b w:val="false"/>
                  <w:i w:val="false"/>
                  <w:caps w:val="false"/>
                  <w:smallCaps w:val="false"/>
                  <w:sz w:val="20"/>
                </w:rPr>
                <w:t>COMMUNICATIONS WITH THE BOARD OF DIRECTORS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24</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14">
              <w:r>
                <w:rPr>
                  <w:rStyle w:val="InternetLink"/>
                  <w:rFonts w:ascii="Times New Roman;Times;Serif" w:hAnsi="Times New Roman;Times;Serif"/>
                  <w:b w:val="false"/>
                  <w:i w:val="false"/>
                  <w:caps w:val="false"/>
                  <w:smallCaps w:val="false"/>
                  <w:sz w:val="20"/>
                </w:rPr>
                <w:t>STOCKHOLDER PROPOSALS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24</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15">
              <w:r>
                <w:rPr>
                  <w:rStyle w:val="InternetLink"/>
                  <w:rFonts w:ascii="Times New Roman;Times;Serif" w:hAnsi="Times New Roman;Times;Serif"/>
                  <w:b w:val="false"/>
                  <w:i w:val="false"/>
                  <w:caps w:val="false"/>
                  <w:smallCaps w:val="false"/>
                  <w:sz w:val="20"/>
                </w:rPr>
                <w:t>OTHER MATTERS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16">
              <w:r>
                <w:rPr>
                  <w:rStyle w:val="InternetLink"/>
                  <w:rFonts w:ascii="Times New Roman;Times;Serif" w:hAnsi="Times New Roman;Times;Serif"/>
                  <w:b w:val="false"/>
                  <w:i w:val="false"/>
                  <w:caps w:val="false"/>
                  <w:smallCaps w:val="false"/>
                  <w:sz w:val="20"/>
                </w:rPr>
                <w:t>ANNUAL REPORT TO STOCKHOLDERS</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rma_017">
              <w:r>
                <w:rPr>
                  <w:rStyle w:val="InternetLink"/>
                  <w:rFonts w:ascii="Times New Roman;Times;Serif" w:hAnsi="Times New Roman;Times;Serif"/>
                  <w:b w:val="false"/>
                  <w:i w:val="false"/>
                  <w:caps w:val="false"/>
                  <w:smallCaps w:val="false"/>
                  <w:sz w:val="20"/>
                </w:rPr>
                <w:t>HOUSEHOLDING</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25</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1700 Broadway,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2026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proxy materials are being furnished to solicit proxies on behalf of the Board of Directors of Stark Novus Financial Inc. for use at the Annual Meeting of Stockholders to be held virtually via live audio webcast on Monday, November 9, 2026 at 12:00 p.m. New York City time, or at any adjournments or postponements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U.S. Securities and Exchange Commission (the “SEC”) rules, Stark Novus Financial Inc. is providing access to our proxy materials over the Internet to our stockholders rather than in paper form, which reduces the environmental impact of our annual meeting and our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you are a stockholder of record, a one-page Notice of Internet Availability of proxy materials has been mailed to you on or about September 16, 2026. Stockholders of record as of the close of business on September 15, 2026 may access the proxy materials on the website listed above or request a printed set of the proxy materials be sent to them by following the instructions in the Notice of Internet Availability. The Notice of Internet Availability also explains how you may request that we send future proxy materials to you by e-mail or in printed form by mail. If you choose the e-mail option, you will receive an e-mail next year with links to those materials and to the proxy voting site. We encourage you to choose this e-mail option, which will allow us to provide you with the information you need in a more timely manner, will save us the cost of printing and mailing documents to you and will conserve natural resources. Your election to receive proxy materials by e-mail or in printed form by mail will remain in effect until you terminate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 will not receive a Notice of Internet Availability directly from us, but your broker, bank or other intermediary will forward you a notice with instructions on accessing our proxy materials and directing that organization how to vote your shares, as well as other options that may be available to you for receiving our proxy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will conduct the Annual Meeting virtually and live via webcast, which may be accessed at </w:t>
      </w:r>
      <w:r>
        <w:rPr>
          <w:rFonts w:ascii="Times New Roman;Times;Serif" w:hAnsi="Times New Roman;Times;Serif"/>
          <w:b/>
          <w:i/>
          <w:caps w:val="false"/>
          <w:smallCaps w:val="false"/>
          <w:sz w:val="20"/>
        </w:rPr>
        <w:t>www.virtualshareholdermeeting.com/SNFI2026</w:t>
      </w:r>
      <w:r>
        <w:rPr>
          <w:rFonts w:ascii="Times New Roman;Times;Serif" w:hAnsi="Times New Roman;Times;Serif"/>
          <w:b/>
          <w:i w:val="false"/>
          <w:caps w:val="false"/>
          <w:smallCaps w:val="false"/>
          <w:sz w:val="20"/>
        </w:rPr>
        <w:t>. It is important that you retain a copy of the control number found on your proxy card, voting instruction form or Notice of Internet Availability, as such number will be required for you to gain access to the virtual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our proxy materials, including this proxy statement and our Annual Report on Form 10-K for the year ended December 31, 2025 (the “Annual Report”), will be made available to stockholders on or about September 16, 2026 on our website at </w:t>
      </w:r>
      <w:r>
        <w:rPr>
          <w:rFonts w:ascii="Times New Roman;Times;Serif" w:hAnsi="Times New Roman;Times;Serif"/>
          <w:b w:val="false"/>
          <w:i/>
          <w:caps w:val="false"/>
          <w:smallCaps w:val="false"/>
          <w:sz w:val="20"/>
        </w:rPr>
        <w:t>www.starknovusfinancial.com</w:t>
      </w:r>
      <w:r>
        <w:rPr>
          <w:rFonts w:ascii="Times New Roman;Times;Serif" w:hAnsi="Times New Roman;Times;Serif"/>
          <w:b w:val="false"/>
          <w:i w:val="false"/>
          <w:caps w:val="false"/>
          <w:smallCaps w:val="false"/>
          <w:sz w:val="20"/>
        </w:rPr>
        <w:t xml:space="preserve"> under the Financials &amp; Filings tab or through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refer to the question entitled “</w:t>
      </w:r>
      <w:r>
        <w:rPr>
          <w:rFonts w:ascii="Times New Roman;Times;Serif" w:hAnsi="Times New Roman;Times;Serif"/>
          <w:b/>
          <w:i/>
          <w:caps w:val="false"/>
          <w:smallCaps w:val="false"/>
          <w:sz w:val="20"/>
        </w:rPr>
        <w:t>What is the difference between holding shares as a stockholder of record or as a beneficial owner?</w:t>
      </w:r>
      <w:r>
        <w:rPr>
          <w:rFonts w:ascii="Times New Roman;Times;Serif" w:hAnsi="Times New Roman;Times;Serif"/>
          <w:b/>
          <w:i w:val="false"/>
          <w:caps w:val="false"/>
          <w:smallCaps w:val="false"/>
          <w:sz w:val="20"/>
        </w:rPr>
        <w:t>” below for important details regarding different forms of stock ownership.</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def_001"/>
      <w:bookmarkEnd w:id="4"/>
      <w:r>
        <w:rPr>
          <w:rFonts w:ascii="Times New Roman;Times;Serif" w:hAnsi="Times New Roman;Times;Serif"/>
          <w:b/>
          <w:i w:val="false"/>
          <w:caps w:val="false"/>
          <w:smallCaps w:val="false"/>
          <w:sz w:val="20"/>
        </w:rPr>
        <w:t>QUESTIONS AND ANSWERS ABOUT THE 2026 ANNUAL MEETING AND PROCEDURAL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proxy materials?</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the Company (the “Board”) has made these proxy materials available on the Internet or is providing them to you in printed form. We do this in order to solicit voting proxies for use at the 2026 Annual Meeting, to be held virtually via the Internet on Monday, November 9, 2026, at 12:00 pm New York City time, and at any adjournment or postponement thereof, which may be accessed at </w:t>
            </w:r>
            <w:r>
              <w:rPr>
                <w:rFonts w:ascii="Times New Roman;Times;Serif" w:hAnsi="Times New Roman;Times;Serif"/>
                <w:b w:val="false"/>
                <w:i/>
                <w:caps w:val="false"/>
                <w:smallCaps w:val="false"/>
                <w:sz w:val="20"/>
              </w:rPr>
              <w:t>www.virtualshareholdermeeting.com/SNFI2026</w:t>
            </w:r>
            <w:r>
              <w:rPr>
                <w:rFonts w:ascii="Times New Roman;Times;Serif" w:hAnsi="Times New Roman;Times;Serif"/>
                <w:b w:val="false"/>
                <w:i w:val="false"/>
                <w:caps w:val="false"/>
                <w:smallCaps w:val="false"/>
                <w:sz w:val="20"/>
              </w:rPr>
              <w:t>. If you are a stockholder of record and you submit your proxy to us, you direct certain of our officers to vote your shares in accordance with the voting instructions in your proxy. If you are a beneficial owner and you follow the voting instructions provided in the notice you receive from your broker, bank or other intermediary, you direct such organization to vote your shares in accordance with your instructions. These proxy materials are being made available or distributed to you on or about September 16, 2026. As a stockholder, you are invited to virtually attend the 2026 Annual Meeting and we request that you vote on the proposals described in this proxy statement.</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attend the 2026 Annual Meeting?</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2026 Annual Meeting will be completely virtual and conducted via live audio webcast to enable our stockholders to participate from any location around the world that is convenient to them. You may virtually attend the 2026 Annual Meeting if, on September 15, 2026 (the “Record Date”), you were a stockholder of record or a beneficial owner. If you are a stockholder of record or a beneficial owner as of the Record Date, you will be able to attend the 2026 Annual Meeting through </w:t>
            </w:r>
            <w:r>
              <w:rPr>
                <w:rFonts w:ascii="Times New Roman;Times;Serif" w:hAnsi="Times New Roman;Times;Serif"/>
                <w:b w:val="false"/>
                <w:i/>
                <w:caps w:val="false"/>
                <w:smallCaps w:val="false"/>
                <w:sz w:val="20"/>
              </w:rPr>
              <w:t>www.virtualshareholdermeeting.com/SNFI2026</w:t>
            </w:r>
            <w:r>
              <w:rPr>
                <w:rFonts w:ascii="Times New Roman;Times;Serif" w:hAnsi="Times New Roman;Times;Serif"/>
                <w:b w:val="false"/>
                <w:i w:val="false"/>
                <w:caps w:val="false"/>
                <w:smallCaps w:val="false"/>
                <w:sz w:val="20"/>
              </w:rPr>
              <w:t>. Stockholders will be able to listen, vote and submit questions during the virtual meeting.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created and implemented the virtual format to facilitate stockholder attendance and participation by enabling stockholders to participate fully, and equally, from any location around the world, at no cost. However, you will bear any costs associated with your Internet access, such as usage charges from Internet service providers and telephone companies. During the live Q&amp;A session of the 2026 Annual Meeting, we may answer questions as they come in and address those asked in advance, to the extent relevant to the business of the 2026 Annual Meeting, as time permits.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stockholders of record and beneficial owners through a broker, bank or other intermediary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holders of shares held in “street name”) will be able to attend the 2026 Annual Meeting via live audio webcast, submit their questions during the meeting and vote their shares electronically at the 2026 Annual Meeting.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your virtual control number will be on your Notice of Internet Availability or proxy card.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beneficially through a bank, broker, or other intermediary, you must provide a legal proxy from your bank, broker, or other intermediary during registration and you will be assigned a virtual control number to vote your shares during the 2026 Annual Meeting. If you are unable to obtain a legal proxy to vote your shares, you will still be able to attend the 2026 Annual Meeting (but will not be able to vote your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Technical Difficulties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difficulties accessing the virtual Annual Meeting webcast, please call the technical support number that will be posted on the Annual Meeting website log-in page.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9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2026 Annual Meeting?</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your shares of Class A common stock, $0.0001 par value per share (“Class A common stock”), if you owned your shares at the close of business on the Record Date. You may cast one vote for each share of Class A common stock held by you as of the Record Date on all matters presented.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Certificate of Designation, Preferences and Rights of Series A Convertible Preferred Stock (the “Certificate of Designation”), the holders of our Series A Convertible Preferred Stock, $0.0001 par value per share (the “Preferred Stock”) may vote with the holders of Class A common stock on each matter presented for a stockholder vote in this proxy statement. Each share of Preferred Stock will have a number of votes equal to the shares of Class A common stock into which it can be converted as of the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share of Preferred Stock can entitle the holder and its affiliates to votes in excess of the applicable Ownership Limitation (as defined in the Certificate of Designation).</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16,369,293 shares of Class A common stock outstanding and shares of Preferred Stock convertible into 1,398,295 shares of Class A common stock, for an aggregate of 17,767,588 shares of Class A common stock.</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questions entitled “</w:t>
      </w:r>
      <w:r>
        <w:rPr>
          <w:rFonts w:ascii="Times New Roman;Times;Serif" w:hAnsi="Times New Roman;Times;Serif"/>
          <w:b/>
          <w:i/>
          <w:caps w:val="false"/>
          <w:smallCaps w:val="false"/>
          <w:sz w:val="20"/>
        </w:rPr>
        <w:t>How can I vote my shares during the 2026 Annual Meeting?</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How can I vote my shares without attending the 2026 Annual Meeting?</w:t>
      </w:r>
      <w:r>
        <w:rPr>
          <w:rFonts w:ascii="Times New Roman;Times;Serif" w:hAnsi="Times New Roman;Times;Serif"/>
          <w:b w:val="false"/>
          <w:i w:val="false"/>
          <w:caps w:val="false"/>
          <w:smallCaps w:val="false"/>
          <w:sz w:val="20"/>
        </w:rPr>
        <w:t>” below for additional details.</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holding shares as a stockholder of record or as a beneficial owner?</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the “stockholder of record” of any shares that are registered directly in your name with the Company’s transfer agent, VStock Transfer, LLC. We have sent the Notice of Internet Availability directly to you if you are a stockholder of record. As a stockholder of record, you may grant your voting proxy directly to the Company or to a third party. You are the “beneficial owner” of any shares (which are considered to be held in “street name”) that are held on your behalf in a brokerage account or by a bank or another intermediary that is the stockholder of record for those shares. If you are a beneficial owner, you did not receive the Notice of Internet Availability directly from the Company, but your broker, bank or other intermediary forwarded you a notice together with voting instructions for directing that organization how to vote your shares. </w:t>
            </w:r>
            <w:r>
              <w:rPr>
                <w:rFonts w:ascii="Times New Roman;Times;Serif" w:hAnsi="Times New Roman;Times;Serif"/>
                <w:b/>
                <w:i w:val="false"/>
                <w:caps w:val="false"/>
                <w:smallCaps w:val="false"/>
                <w:sz w:val="20"/>
              </w:rPr>
              <w:t>If you are a beneficial owner, then you also may virtually attend the 2026 Annual Meeting, but because a beneficial owner is not a stockholder of record, you may not vote during the 2026 Annual Meeting unless you obtain a “legal proxy” from the organization that holds your shares, giving you the right to vote the shares at the 2026 Annual Meeting.</w:t>
            </w:r>
            <w:r>
              <w:rPr>
                <w:rFonts w:ascii="Times New Roman;Times;Serif" w:hAnsi="Times New Roman;Times;Serif"/>
                <w:b w:val="false"/>
                <w:i w:val="false"/>
                <w:caps w:val="false"/>
                <w:smallCaps w:val="false"/>
                <w:sz w:val="20"/>
              </w:rPr>
              <w:t xml:space="preserve"> Alternatively, you may provide voting instructions to your broker, bank or other intermediary by completing, signing and returning the voting instruction form that the broker, bank or other intermediary provides to you, or by using telephone or internet voting arrangements described on the voting instruction form, the Notice of Internet Availability or other materials that the broker, bank or other intermediary provides to you.</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the New York Stock Exchange (“NYSE”) applicable to voting by brokers, brokers who hold shares on behalf of beneficial owners have discretion to vote such shares with respect to matters deemed to be “routine” by the NYSE without receiving voting instructions from the beneficial owners of the shares. However, brokers do not have discretion to vote such shares with respect to “non-routine” matters if they do not receive voting instructions from the beneficial owners of the shares. A “broker non-vote” occurs when a broker does not vote on a particular matter because the broker does not have discretionary voting authority for that item and has not received instructions from the beneficial owner of the shares or when a broker for its own internal reasons elects not to vote uninstructed shares on a routine matter. If you are a beneficial owner, we urge you to submit voting instructions to your broker to ensure your shares are voted as you desire.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vote my shares during the 2026 Annual Meeting?</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stockholder of record as of the Record Date, you will be able to virtually attend the 2026 Annual Meeting and vote by logging in through </w:t>
            </w:r>
            <w:r>
              <w:rPr>
                <w:rFonts w:ascii="Times New Roman;Times;Serif" w:hAnsi="Times New Roman;Times;Serif"/>
                <w:b w:val="false"/>
                <w:i/>
                <w:caps w:val="false"/>
                <w:smallCaps w:val="false"/>
                <w:sz w:val="20"/>
                <w:u w:val="single"/>
              </w:rPr>
              <w:t>www.virtualshareholdermeeting.com/SNFI2026</w:t>
            </w:r>
            <w:r>
              <w:rPr>
                <w:rFonts w:ascii="Times New Roman;Times;Serif" w:hAnsi="Times New Roman;Times;Serif"/>
                <w:b w:val="false"/>
                <w:i w:val="false"/>
                <w:caps w:val="false"/>
                <w:smallCaps w:val="false"/>
                <w:sz w:val="20"/>
              </w:rPr>
              <w:t xml:space="preserve"> and following the instructions available on the meeting website during the meeting. Please have available the 16-digit control number from the enclosed proxy card, if you received one, or from your Notice of Internet Availability. If you are a stockholder holding your shares in “street name” as of the Record Date, you may gain access to the meeting by following the instructions in the voting instruction card provided by your broker, bank or other nominee. </w:t>
            </w:r>
            <w:r>
              <w:rPr>
                <w:rFonts w:ascii="Times New Roman;Times;Serif" w:hAnsi="Times New Roman;Times;Serif"/>
                <w:b/>
                <w:i w:val="false"/>
                <w:caps w:val="false"/>
                <w:smallCaps w:val="false"/>
                <w:sz w:val="20"/>
              </w:rPr>
              <w:t>Even if you plan to virtually attend the 2026 Annual Meeting, we recommend that you also direct the voting of your shares as described below in the question entitled “</w:t>
            </w:r>
            <w:r>
              <w:rPr>
                <w:rFonts w:ascii="Times New Roman;Times;Serif" w:hAnsi="Times New Roman;Times;Serif"/>
                <w:b/>
                <w:i/>
                <w:caps w:val="false"/>
                <w:smallCaps w:val="false"/>
                <w:sz w:val="20"/>
              </w:rPr>
              <w:t>How can I vote my shares without attending the 2026 Annual Meeting</w:t>
            </w:r>
            <w:r>
              <w:rPr>
                <w:rFonts w:ascii="Times New Roman;Times;Serif" w:hAnsi="Times New Roman;Times;Serif"/>
                <w:b w:val="false"/>
                <w:i w:val="false"/>
                <w:caps w:val="false"/>
                <w:smallCaps w:val="false"/>
                <w:sz w:val="20"/>
              </w:rPr>
              <w:t>?” so that your vote will be counted if you later decide not to virtually attend the 2026 Annual Meeting.</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vote my shares without attending the 2026 Annual Meeting?</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hold shares as a stockholder of record or a beneficial owner, you may direct how your shares are voted without attending the 2026 Annual Meeting, by the following means: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Internet</w:t>
            </w:r>
            <w:r>
              <w:rPr>
                <w:rFonts w:ascii="Times New Roman;Times;Serif" w:hAnsi="Times New Roman;Times;Serif"/>
                <w:b w:val="false"/>
                <w:i w:val="false"/>
                <w:caps w:val="false"/>
                <w:smallCaps w:val="false"/>
                <w:sz w:val="20"/>
              </w:rPr>
              <w:t xml:space="preserve"> — To vote over the Internet, go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Please have available the 16-digit control number from the proxy card, if you received one, or from your Notice of Internet Availability. Your vote must be received by 11:59 p.m., Eastern Time, on November 8, 2026, to be counted.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telephone</w:t>
            </w:r>
            <w:r>
              <w:rPr>
                <w:rFonts w:ascii="Times New Roman;Times;Serif" w:hAnsi="Times New Roman;Times;Serif"/>
                <w:b w:val="false"/>
                <w:i w:val="false"/>
                <w:caps w:val="false"/>
                <w:smallCaps w:val="false"/>
                <w:sz w:val="20"/>
              </w:rPr>
              <w:t> — Stockholders of record may submit proxies telephonically by following the applicable “Phone” instructions on the Notice of Internet Availability. Please have available the 16-digit control number from the proxy card, if you received one, or from your Notice of Internet Availability. Your vote must be received by 11:59 p.m., Eastern Time, on November 8, 2026, to be counted. If you are a beneficial owner of shares held in street name, please check the voting instructions in the notice provided by your broker, bank or other intermediary for telephone voting availability.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mail</w:t>
            </w:r>
            <w:r>
              <w:rPr>
                <w:rFonts w:ascii="Times New Roman;Times;Serif" w:hAnsi="Times New Roman;Times;Serif"/>
                <w:b w:val="false"/>
                <w:i w:val="false"/>
                <w:caps w:val="false"/>
                <w:smallCaps w:val="false"/>
                <w:sz w:val="20"/>
              </w:rPr>
              <w:t> — Stockholders of record may receive a proxy card from the Company by following the procedures in the Notice of Internet Availability. If you elect to vote by mail, please complete, sign and date the proxy card where indicated and return it in the prepaid envelope included with the proxy card. Proxy cards submitted by mail must be received by the time of the meeting for your shares to be voted. If you are a beneficial owner of shares held in street name, you may vote by mail by completing, signing and dating the voting instructions in the notice provided by your broker, bank or other intermediary and mailing it in the accompanying pre-addressed envelope.</w:t>
            </w:r>
          </w:p>
        </w:tc>
      </w:tr>
    </w:tbl>
    <w:p>
      <w:pPr>
        <w:pStyle w:val="TextBody"/>
        <w:bidi w:val="0"/>
        <w:spacing w:before="0" w:after="0"/>
        <w:ind w:left="720" w:right="0" w:hanging="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holders will vote your shares in accordance with your directions. If you sign the proxy form but do not make specific choices, your proxy will vote your shares as recommended by the Board. If any other matter is presented, your proxy will vote in accordance with his or her best judgment. As of the date of this proxy statement, we are not aware of other matters to be acted on at the 2026 Annual Meeting other than those matters described in this proxy statement.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shares must be present or represented to conduct business at the 2026 Annual Meeting?</w:t>
            </w:r>
          </w:p>
        </w:tc>
      </w:tr>
      <w:tr>
        <w:trPr/>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100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quorum is required to conduct business at the 2026 Annual Meeting. The required quorum is the holders of shares of outstanding capital stock of the Company representing a majority of the voting power of all outstanding shares of capital stock of the Company on the Record Date and entitled to vote at the 2026 Annual Meeting. Each share of Preferred Stock will have a number of votes equal to the shares of Class A common stock into which it can be converted as of the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share of Preferred Stock can entitle the holder and its affiliates to votes in excess of the applicable Ownership Limitation (as defined in the Certificate of Designation).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represented in person or by proxy (including shares which abstain from voting and broker non-votes with respect to shares otherwise voting on a routine matter) will be counted for purposes of determining whether a quorum exists at the 2026 Annual Meeting. Under the General Corporation Law of the State of Delaware, abstentions and broker non-votes are counted as present, and therefore are included for the purposes of determining whether a quorum is present at the 2026 Annual Meeting.</w:t>
      </w:r>
    </w:p>
    <w:p>
      <w:pPr>
        <w:pStyle w:val="TextBody"/>
        <w:bidi w:val="0"/>
        <w:spacing w:before="0" w:after="0"/>
        <w:ind w:left="36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7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will be voted on at the 2026 Annual Meeting?</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proposals (the “Proposals”) scheduled to be voted on at the 2026 Annual Meeting are: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elect two Class II directors listed in this proxy statement to serve for a term of three years and until his respective successor is duly elected and qualified;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ratify the appointment of BDO USA, P.C. (“BDO”) as the independent registered public accounting firm for the fiscal year ending December 31, 2026;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business as may properly come before the 2026 Annual Meeting.</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45"/>
        <w:gridCol w:w="6680"/>
      </w:tblGrid>
      <w:tr>
        <w:trPr/>
        <w:tc>
          <w:tcPr>
            <w:tcW w:w="2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680" w:type="dxa"/>
            <w:tcBorders/>
            <w:shd w:fill="FFFFFF" w:val="clear"/>
            <w:vAlign w:val="center"/>
          </w:tcPr>
          <w:p>
            <w:pPr>
              <w:pStyle w:val="TableContents"/>
              <w:bidi w:val="0"/>
              <w:spacing w:before="0" w:after="283"/>
              <w:jc w:val="left"/>
              <w:rPr>
                <w:b/>
              </w:rPr>
            </w:pPr>
            <w:r>
              <w:rPr>
                <w:b/>
              </w:rPr>
              <w:t>What is the voting requirement to approve each of the Proposals?</w:t>
            </w:r>
          </w:p>
        </w:tc>
      </w:tr>
      <w:tr>
        <w:trPr/>
        <w:tc>
          <w:tcPr>
            <w:tcW w:w="245" w:type="dxa"/>
            <w:tcBorders/>
            <w:shd w:fill="FFFFFF" w:val="clear"/>
            <w:vAlign w:val="center"/>
          </w:tcPr>
          <w:p>
            <w:pPr>
              <w:pStyle w:val="TableContents"/>
              <w:bidi w:val="0"/>
              <w:spacing w:before="0" w:after="283"/>
              <w:jc w:val="left"/>
              <w:rPr/>
            </w:pPr>
            <w:r>
              <w:rPr/>
              <w:t> </w:t>
            </w:r>
          </w:p>
        </w:tc>
        <w:tc>
          <w:tcPr>
            <w:tcW w:w="6680" w:type="dxa"/>
            <w:tcBorders/>
            <w:shd w:fill="FFFFFF" w:val="clear"/>
            <w:vAlign w:val="center"/>
          </w:tcPr>
          <w:p>
            <w:pPr>
              <w:pStyle w:val="TableContents"/>
              <w:bidi w:val="0"/>
              <w:spacing w:before="0" w:after="283"/>
              <w:jc w:val="left"/>
              <w:rPr/>
            </w:pPr>
            <w:r>
              <w:rPr/>
              <w:t> </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6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601"/>
        <w:gridCol w:w="60"/>
        <w:gridCol w:w="4063"/>
        <w:gridCol w:w="60"/>
        <w:gridCol w:w="1421"/>
      </w:tblGrid>
      <w:tr>
        <w:trPr/>
        <w:tc>
          <w:tcPr>
            <w:tcW w:w="4601"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w:t>
            </w:r>
          </w:p>
        </w:tc>
        <w:tc>
          <w:tcPr>
            <w:tcW w:w="60" w:type="dxa"/>
            <w:tcBorders/>
            <w:tcMar>
              <w:bottom w:w="0" w:type="dxa"/>
            </w:tcMar>
            <w:vAlign w:val="center"/>
          </w:tcPr>
          <w:p>
            <w:pPr>
              <w:pStyle w:val="TableContents"/>
              <w:bidi w:val="0"/>
              <w:spacing w:before="0" w:after="283"/>
              <w:jc w:val="left"/>
              <w:rPr/>
            </w:pPr>
            <w:r>
              <w:rPr/>
              <w:t> </w:t>
            </w:r>
          </w:p>
        </w:tc>
        <w:tc>
          <w:tcPr>
            <w:tcW w:w="406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Vote Required</w:t>
            </w:r>
          </w:p>
        </w:tc>
        <w:tc>
          <w:tcPr>
            <w:tcW w:w="60" w:type="dxa"/>
            <w:tcBorders/>
            <w:tcMar>
              <w:bottom w:w="0" w:type="dxa"/>
            </w:tcMar>
            <w:vAlign w:val="center"/>
          </w:tcPr>
          <w:p>
            <w:pPr>
              <w:pStyle w:val="TableContents"/>
              <w:bidi w:val="0"/>
              <w:spacing w:before="0" w:after="283"/>
              <w:jc w:val="left"/>
              <w:rPr/>
            </w:pPr>
            <w:r>
              <w:rPr/>
              <w:t> </w:t>
            </w:r>
          </w:p>
        </w:tc>
        <w:tc>
          <w:tcPr>
            <w:tcW w:w="1421"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Discretionary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Allowed</w:t>
            </w:r>
          </w:p>
        </w:tc>
      </w:tr>
      <w:tr>
        <w:trPr/>
        <w:tc>
          <w:tcPr>
            <w:tcW w:w="46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One</w:t>
            </w:r>
            <w:r>
              <w:rPr>
                <w:rFonts w:ascii="Times New Roman;Times;Serif" w:hAnsi="Times New Roman;Times;Serif"/>
                <w:b w:val="false"/>
                <w:i w:val="false"/>
                <w:caps w:val="false"/>
                <w:smallCaps w:val="false"/>
                <w:sz w:val="20"/>
              </w:rPr>
              <w:t> – Elect two Class II directors</w:t>
            </w:r>
          </w:p>
        </w:tc>
        <w:tc>
          <w:tcPr>
            <w:tcW w:w="60" w:type="dxa"/>
            <w:tcBorders/>
            <w:tcMar>
              <w:bottom w:w="0" w:type="dxa"/>
            </w:tcMar>
            <w:vAlign w:val="center"/>
          </w:tcPr>
          <w:p>
            <w:pPr>
              <w:pStyle w:val="TableContents"/>
              <w:bidi w:val="0"/>
              <w:spacing w:before="0" w:after="283"/>
              <w:jc w:val="left"/>
              <w:rPr/>
            </w:pPr>
            <w:r>
              <w:rPr/>
              <w:t> </w:t>
            </w:r>
          </w:p>
        </w:tc>
        <w:tc>
          <w:tcPr>
            <w:tcW w:w="40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Plurality of the votes cast by the stockholders entitled to vote and present or represented by proxy at the 2026 Annual Meeting</w:t>
            </w:r>
          </w:p>
        </w:tc>
        <w:tc>
          <w:tcPr>
            <w:tcW w:w="60" w:type="dxa"/>
            <w:tcBorders/>
            <w:tcMar>
              <w:bottom w:w="0" w:type="dxa"/>
            </w:tcMar>
            <w:vAlign w:val="center"/>
          </w:tcPr>
          <w:p>
            <w:pPr>
              <w:pStyle w:val="TableContents"/>
              <w:bidi w:val="0"/>
              <w:spacing w:before="0" w:after="283"/>
              <w:jc w:val="left"/>
              <w:rPr/>
            </w:pPr>
            <w:r>
              <w:rPr/>
              <w:t> </w:t>
            </w:r>
          </w:p>
        </w:tc>
        <w:tc>
          <w:tcPr>
            <w:tcW w:w="1421" w:type="dxa"/>
            <w:tcBorders/>
            <w:tcMar>
              <w:bottom w:w="0" w:type="dxa"/>
            </w:tcMar>
            <w:vAlign w:val="center"/>
          </w:tcPr>
          <w:p>
            <w:pPr>
              <w:pStyle w:val="TableContents"/>
              <w:bidi w:val="0"/>
              <w:spacing w:before="0" w:after="283"/>
              <w:jc w:val="center"/>
              <w:rPr/>
            </w:pPr>
            <w:r>
              <w:rPr/>
              <w:t>No</w:t>
            </w:r>
          </w:p>
        </w:tc>
      </w:tr>
      <w:tr>
        <w:trPr/>
        <w:tc>
          <w:tcPr>
            <w:tcW w:w="46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21" w:type="dxa"/>
            <w:tcBorders/>
            <w:tcMar>
              <w:bottom w:w="0" w:type="dxa"/>
            </w:tcMar>
            <w:vAlign w:val="center"/>
          </w:tcPr>
          <w:p>
            <w:pPr>
              <w:pStyle w:val="TableContents"/>
              <w:bidi w:val="0"/>
              <w:spacing w:before="0" w:after="283"/>
              <w:jc w:val="center"/>
              <w:rPr/>
            </w:pPr>
            <w:r>
              <w:rPr/>
              <w:t> </w:t>
            </w:r>
          </w:p>
        </w:tc>
      </w:tr>
      <w:tr>
        <w:trPr/>
        <w:tc>
          <w:tcPr>
            <w:tcW w:w="46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Two</w:t>
            </w:r>
            <w:r>
              <w:rPr>
                <w:rFonts w:ascii="Times New Roman;Times;Serif" w:hAnsi="Times New Roman;Times;Serif"/>
                <w:b w:val="false"/>
                <w:i w:val="false"/>
                <w:caps w:val="false"/>
                <w:smallCaps w:val="false"/>
                <w:sz w:val="20"/>
              </w:rPr>
              <w:t> – Ratify the appointment of BDO as the independent registered public accounting firm for the fiscal year ending December 31, 2026</w:t>
            </w:r>
          </w:p>
        </w:tc>
        <w:tc>
          <w:tcPr>
            <w:tcW w:w="60" w:type="dxa"/>
            <w:tcBorders/>
            <w:tcMar>
              <w:bottom w:w="0" w:type="dxa"/>
            </w:tcMar>
            <w:vAlign w:val="center"/>
          </w:tcPr>
          <w:p>
            <w:pPr>
              <w:pStyle w:val="TableContents"/>
              <w:bidi w:val="0"/>
              <w:spacing w:before="0" w:after="283"/>
              <w:jc w:val="left"/>
              <w:rPr/>
            </w:pPr>
            <w:r>
              <w:rPr/>
              <w:t> </w:t>
            </w:r>
          </w:p>
        </w:tc>
        <w:tc>
          <w:tcPr>
            <w:tcW w:w="40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the votes cast by the stockholders entitled to vote and present or represented by proxy at the 2026 Annual Meeting</w:t>
            </w:r>
          </w:p>
        </w:tc>
        <w:tc>
          <w:tcPr>
            <w:tcW w:w="60" w:type="dxa"/>
            <w:tcBorders/>
            <w:tcMar>
              <w:bottom w:w="0" w:type="dxa"/>
            </w:tcMar>
            <w:vAlign w:val="center"/>
          </w:tcPr>
          <w:p>
            <w:pPr>
              <w:pStyle w:val="TableContents"/>
              <w:bidi w:val="0"/>
              <w:spacing w:before="0" w:after="283"/>
              <w:jc w:val="left"/>
              <w:rPr/>
            </w:pPr>
            <w:r>
              <w:rPr/>
              <w:t> </w:t>
            </w:r>
          </w:p>
        </w:tc>
        <w:tc>
          <w:tcPr>
            <w:tcW w:w="142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votes counted?</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entitled to vote and that are timely voted will be counted, and all shares represented by properly executed and unrevoked proxies received prior to the 2026 Annual Meeting will be voted at the 2026 Annual Meeting as indicated in such proxies.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One</w:t>
      </w:r>
      <w:r>
        <w:rPr>
          <w:rFonts w:ascii="Times New Roman;Times;Serif" w:hAnsi="Times New Roman;Times;Serif"/>
          <w:b w:val="false"/>
          <w:i w:val="false"/>
          <w:caps w:val="false"/>
          <w:smallCaps w:val="false"/>
          <w:sz w:val="20"/>
        </w:rPr>
        <w:t> — You may vote “FOR” or “WITHHOLD” on the directors up for election under Proposal One. With respect to the election of directors, the Company’s Amended and Restated Bylaws (the “Bylaws”) provide that the plurality of the votes cast by the stockholders present or represented by proxy at the meeting and entitled to vote is required to elect a director. Therefore, the nominees that receive the highest number of affirmative “FOR” votes will be elected as directors. In the event a director receives a plurality of “FOR” votes but also a majority of “WITHHOLD” votes, the Company’s Corporate Governance Guidelines (the “Corporate Governance Guidelines”) provide that a director will tender a resignation to our Corporate Governance and Nominating Committee, which will advise the Board, and the Board will then determine whether to accept such resignation. Abstentions and broker non-votes with respect to Proposal One will not be treated as votes 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Two</w:t>
      </w:r>
      <w:r>
        <w:rPr>
          <w:rFonts w:ascii="Times New Roman;Times;Serif" w:hAnsi="Times New Roman;Times;Serif"/>
          <w:b w:val="false"/>
          <w:i w:val="false"/>
          <w:caps w:val="false"/>
          <w:smallCaps w:val="false"/>
          <w:sz w:val="20"/>
        </w:rPr>
        <w:t> — You may vote “FOR,” “AGAINST” or “ABSTAIN” on Proposal Two. Abstentions and broker non-votes with respect to Proposal Two are not treated as votes cast; further, it is not anticipated that there will be any broker non-votes with respect to Proposal Two because it is a routine matter. Proposal Two will be ratified if the number of shares voted “FOR” Proposal Two exceeds the total number of shares voted “AGAINST” Proposal Two.</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of not casting a vote or if I submit a proxy but do not specify how my shares are to be voted?</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and you do not vote by proxy card, by telephone, via the Internet or during the 2026 Annual Meeting, your shares will not be voted at the 2026 Annual Meeting. If you submit a proxy, but you do not provide voting instructions, your shares will be voted in accordance with the recommendations of the Board. If you are a beneficial owner and you do not provide the organization that is the stockholder of record for your shares with voting instructions, the organization will determine if it has the discretionary authority to vote on the particular matter. Under applicable regulations, brokers and other intermediaries have the discretion to vote on routine matters such as Proposal Two but do not have discretion to vote on non-routine matters (Proposal One). Therefore, if you do not provide voting instructions to that organization, it may vote your shares only on Proposal Two, and any other routine matters properly presented for a vote at the 2026 Annual Meeting. If no voting instructions are given for Proposal Two, we expect that such shares will be voted “FOR” those proposals.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of a “broker non-vote”?</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00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organization that holds shares of Class A common stock for a beneficial owner will have the discretion to vote on routine proposals if it has not received voting instructions from the beneficial owner. A “broker non-vote” occurs when a broker, bank or other intermediary that is otherwise counted as present or represented by proxy does not vote on a particular matter because the broker, bank or other intermediary does not have discretionary voting authority for that item and has not received instructions from the beneficial owner of the shares or when a broker, bank or other intermediary, for its own internal reasons, elects not to vote uninstructed shares on a routine matter. A broker non-vote will be counted for purposes of calculating whether a quorum is present at the 2026 Annual Meeting, but will not be counted for purposes of determining the number of votes cast with respect to a particular proposal. A broker or other nominee cannot vote without instructions on non-routine matters.</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00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00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your shares: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nominees for election as Class II directors (Proposal One);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ratification of the appointment of BDO as the independent registered public accounting firm for the fiscal year ending December 31, 2026 (Proposal Two);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can change your vote at any time before the polls close at the Annual Meeting. There are four methods by which you can effect a change in your vote: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again by telephone or over the Internet prior to 11:59 p.m., Eastern Standard Time, on November 8,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timely written notice to the Corporate Secretary at the address of our principal executive offices specified on the first page of this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another properly completed proxy card with a later date;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Attend the virtual Annual Meeting and vote in at </w:t>
            </w:r>
            <w:r>
              <w:rPr>
                <w:rFonts w:ascii="Times New Roman;Times;Serif" w:hAnsi="Times New Roman;Times;Serif"/>
                <w:b w:val="false"/>
                <w:i/>
                <w:caps w:val="false"/>
                <w:smallCaps w:val="false"/>
                <w:sz w:val="20"/>
              </w:rPr>
              <w:t>www.virtualshareholdermeeting.com/SNFI2026</w:t>
            </w:r>
            <w:r>
              <w:rPr>
                <w:rFonts w:ascii="Times New Roman;Times;Serif" w:hAnsi="Times New Roman;Times;Serif"/>
                <w:b w:val="false"/>
                <w:i w:val="false"/>
                <w:caps w:val="false"/>
                <w:smallCaps w:val="false"/>
                <w:sz w:val="20"/>
              </w:rPr>
              <w:t>. Simply attending the virtual Annual Meeting will not, by itself, revoke your proxy.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your broker, bank or other agent, you should follow the instructions provided by your broker, bank or other agent.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do if I receive more than one Notice of Internet Availability, notice from my broker, bank or other intermediary, or set of proxy materials?</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Notice of Internet Availability, notice from your broker, bank or other intermediary, or set of proxy materials, including multiple copies of proxy cards or voting instruction cards. For example, if you are a beneficial owner with shares in more than one brokerage account, you may receive a separate notice or voting instruction card for each brokerage account in which you hold shares. If you are a stockholder of record and your shares are registered in more than one name, you will receive more than one Notice of Internet Availability or proxy card. Please complete, sign, date and return each Company proxy card or voting instruction card that you receive, or follow the voting instructions on each Notice of Internet Availability or other notice you receive, to ensure that all your shares are voted.</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2026 Annual Meeting?</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publish final voting results in our Current Report on Form 8-K, which will be filed with the SEC and made available on its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within four (4) business days of the 2026 Annual Meeting.</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bear the cost of soliciting votes for the 2026 Annual Meeting?</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those beneficial owners. Our directors, officers and employees may also solicit proxies in person or by other means. These directors, officers and employees will not be additionally compensated but may be reimbursed for reasonable out-of-pocket expenses incurred in doing so.</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may I obtain a separate copy of the Notice of Internet Availability or the proxy materials?</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share an address with another stockholder of record, each stockholder may not receive a separate copy of the Notice of Internet Availability or proxy materials. Stockholders may request to receive separate or additional copies of the Notice of Internet Availability or proxy materials by following the instructions on the Notice of Internet Availability. Stockholders who share an address and receive multiple copies of the Notice of Internet Availability or proxy materials can also request to receive a single copy by following the instructions above.</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def_002"/>
      <w:bookmarkEnd w:id="5"/>
      <w:r>
        <w:rPr>
          <w:rFonts w:ascii="Times New Roman;Times;Serif" w:hAnsi="Times New Roman;Times;Serif"/>
          <w:b/>
          <w:i w:val="false"/>
          <w:caps w:val="false"/>
          <w:smallCaps w:val="false"/>
          <w:sz w:val="20"/>
        </w:rPr>
        <w:t>PROPOSAL ONE — 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def_003"/>
      <w:bookmarkEnd w:id="6"/>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permit the Board to establish by resolution the authorized number of directors, and five directors are currently authorized. Any increase or decrease in the number of directors will be distributed among the three classes so that, as nearly as possible, each class will consist of an equal number of directors. The Board currently consists of five members who are divided into three classes with staggered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Terms of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Company’s Third Amended and Restated Certificate of Incorporation, the Board has been divided into three classes, designated Class I, Class II and Class III. The term of the Class I director (Mr. Weiner) will expire at the 2028 Annual Meeting; the term of the Class II directors will expire at the 2026 Annual Meeting (Messrs. Burkett and Zyngier), and the term of the Class III directors (Messrs. Matina and Sole) will expire at the annual meeting of the stockholders of the Company to be held in 2027, or, in each case, on the earlier of such person’s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def_004"/>
      <w:bookmarkEnd w:id="7"/>
      <w:r>
        <w:rPr>
          <w:rFonts w:ascii="Times New Roman;Times;Serif" w:hAnsi="Times New Roman;Times;Serif"/>
          <w:b/>
          <w:i w:val="false"/>
          <w:caps w:val="false"/>
          <w:smallCaps w:val="false"/>
          <w:sz w:val="20"/>
        </w:rPr>
        <w:t>Nominees for Class II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candidates have been nominated for election as Class II directors at the 2026 Annual Meeting for a three-year term. Upon the recommendation of the Corporate Governance and Nominating Committee, the Board has nominated each of Paul Burkett and Alexandre Zyngier for re-election as a Class II director. Biographical information of the director nominees as of September 15, 2026 is set forth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19"/>
        <w:gridCol w:w="60"/>
        <w:gridCol w:w="350"/>
        <w:gridCol w:w="60"/>
        <w:gridCol w:w="1616"/>
        <w:gridCol w:w="60"/>
        <w:gridCol w:w="6840"/>
      </w:tblGrid>
      <w:tr>
        <w:trPr/>
        <w:tc>
          <w:tcPr>
            <w:tcW w:w="121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Length of Service as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with the Company</w:t>
            </w:r>
          </w:p>
        </w:tc>
      </w:tr>
      <w:tr>
        <w:trPr/>
        <w:tc>
          <w:tcPr>
            <w:tcW w:w="12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 Burkett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July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 Member of the Audit Committee and Corporate Governance and Nominating Committee</w:t>
            </w:r>
          </w:p>
          <w:p>
            <w:pPr>
              <w:pStyle w:val="TableContents"/>
              <w:bidi w:val="0"/>
              <w:spacing w:before="0" w:after="0"/>
              <w:ind w:left="0" w:right="0" w:hanging="0"/>
              <w:jc w:val="center"/>
              <w:rPr>
                <w:caps w:val="false"/>
                <w:smallCaps w:val="false"/>
              </w:rPr>
            </w:pPr>
            <w:r>
              <w:rPr>
                <w:caps w:val="false"/>
                <w:smallCaps w:val="false"/>
              </w:rPr>
              <w:t> </w:t>
            </w:r>
          </w:p>
        </w:tc>
      </w:tr>
      <w:tr>
        <w:trPr/>
        <w:tc>
          <w:tcPr>
            <w:tcW w:w="12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Alexandre Zyngier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 Chairman of the Compensation Committee and Member of the Audit Committee and Corporate Governance and Nominating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Paul W. Burkett </w:t>
      </w:r>
      <w:r>
        <w:rPr>
          <w:rFonts w:ascii="Times New Roman;Times;Serif" w:hAnsi="Times New Roman;Times;Serif"/>
          <w:b w:val="false"/>
          <w:i w:val="false"/>
          <w:caps w:val="false"/>
          <w:smallCaps w:val="false"/>
          <w:sz w:val="20"/>
        </w:rPr>
        <w:t>has served as Chief Executive Officer of Snoaspen Insurance Group, Inc., located in Reno, Nevada, since August 1995, where he provides risk management consulting, insurance policy and program audit services, and expert witness opinions and testimony on insurance coverage, claims handling, underwriting, and insurance company matters for both plaintiff and defense counsel. Mr. Burkett also served as Principal and Chief Operating Officer of TUITIONGard®, Ltd. from 1997 to 2006, where he was responsible for underwriting and claims handling functions, and drafted the company’s insurance contract and related endorsements. He also served as President and CEO of Meadowbrook Insurance Group of Colorado from 1992 to 2006, where among other things he assisted in developing underwriting and claims handling manuals for alternative insurance programs. Earlier in his career, Mr. Burkett held various management positions in underwriting, risk management, loss control, and insurance marketing, including as Vice President and Manager of the Risk Management Services Department at Frank B. Hall &amp; Co. in Colorado, and in several senior management roles at SAFECO Insurance Company in California and Colorado. Since 2022, Mr. Burkett has served as an Adjunct Professor at the University of Nevada, Reno, teaching an upper-division Life and Health Insurance course in the Business College. Mr. Burkett is a licensed risk management consultant and licensed insurance producer for property, casualty, life and health insurance in Nevada. He earned his J.D. from Concord Law School, Purdue University Global, in 2007, and holds a B.A. in International Relations from the University of Minnesota, and is a veteran of the United States Air Force. We believe Mr. Burkett’s qualifications to serve on our Board include his nearly 50 years of experience in the insurance industry.</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Alexandre Zyngier </w:t>
      </w:r>
      <w:r>
        <w:rPr>
          <w:rFonts w:ascii="Times New Roman;Times;Serif" w:hAnsi="Times New Roman;Times;Serif"/>
          <w:b w:val="false"/>
          <w:i w:val="false"/>
          <w:caps w:val="false"/>
          <w:smallCaps w:val="false"/>
          <w:sz w:val="20"/>
        </w:rPr>
        <w:t>has served as the Managing Director and Founder of Batuta Capital Advisors LLC, a private investment and advisory firm, since 2013. He also serves on the board of directors of Beyond Meat, a leading plant-based meat company since October 2025, Unifin Financiera SAB de CV, a Mexican finance company since August 2024, COFINA Puerto Rico, the taxing authority of Puerto Rico, since February 2019, Atari SA, a public video game company, since August 2014 and certain other private entities. Mr. Zyngier previously served on the board of directors of Urgently, Inc. from October 2025 until April 2026, Slam Corp, a public special purpose acquisition company, from February 2023 until March 2026, LazyDays Holdings Inc. from July 2025 until December 2025, Appvion Holding Corp, a private paper and packaging company, from February 2019 to December 2021, GT Advanced Technologies Inc., a private advanced materials company, from March 2016 to November 2021, and certain other public and private companies. Mr. Zyngier earned his MBA in Accounting and Finance from the University of Chicago. We believe Mr. Zyngier’s qualifications to serve on our Board include his extensive investment management experience, his knowledge of public capital markets, his experience advising companies and serving on the boards of directors of multiple public companies across diverse industries, his accounting and finance knowledge, and his expertise in corporate governance and strategic value creation.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you sign your proxy card or vote by telephone or over the Internet but do not give instructions with respect to the voting of directors, your shares will be voted “FOR” the re-election of each of Mr. Burkett and Mr. Zyngier. Messrs. Burkett and Zyngier have accepted such nomination; however, in the event that a nominee is unable or declines to serve as a director at the time of the 2026 Annual Meeting, the proxies will be voted for any nominee who shall be designated by the Board to fill such vacancy.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The Board Recommends a Vote </w:t>
      </w:r>
      <w:r>
        <w:rPr>
          <w:rFonts w:ascii="Times New Roman;Times;Serif" w:hAnsi="Times New Roman;Times;Serif"/>
          <w:b/>
          <w:i/>
          <w:smallCaps/>
          <w:sz w:val="20"/>
        </w:rPr>
        <w:t>FOR</w:t>
      </w:r>
      <w:r>
        <w:rPr>
          <w:rFonts w:ascii="Times New Roman;Times;Serif" w:hAnsi="Times New Roman;Times;Serif"/>
          <w:b/>
          <w:i w:val="false"/>
          <w:smallCaps/>
          <w:sz w:val="20"/>
        </w:rPr>
        <w:t xml:space="preserve"> the Election of the Class II Directors.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def_005"/>
      <w:bookmarkEnd w:id="8"/>
      <w:r>
        <w:rPr>
          <w:rFonts w:ascii="Times New Roman;Times;Serif" w:hAnsi="Times New Roman;Times;Serif"/>
          <w:b/>
          <w:i w:val="false"/>
          <w:caps w:val="false"/>
          <w:smallCaps w:val="false"/>
          <w:sz w:val="20"/>
        </w:rPr>
        <w:t>Information Regarding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members of the Board that are not up for re-election, their respective ages, their positions with the Company and other biographical information as of September 15,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8"/>
        <w:gridCol w:w="60"/>
        <w:gridCol w:w="350"/>
        <w:gridCol w:w="60"/>
        <w:gridCol w:w="1609"/>
        <w:gridCol w:w="60"/>
        <w:gridCol w:w="6768"/>
      </w:tblGrid>
      <w:tr>
        <w:trPr/>
        <w:tc>
          <w:tcPr>
            <w:tcW w:w="129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Length of Service as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6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with the Company</w:t>
            </w:r>
          </w:p>
        </w:tc>
      </w:tr>
      <w:tr>
        <w:trPr/>
        <w:tc>
          <w:tcPr>
            <w:tcW w:w="129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 Sole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68"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Class III Director and Member of the Audit Committee and Compensation Committee</w:t>
            </w:r>
          </w:p>
          <w:p>
            <w:pPr>
              <w:pStyle w:val="TableContents"/>
              <w:bidi w:val="0"/>
              <w:spacing w:before="0" w:after="0"/>
              <w:ind w:left="0" w:right="0" w:hanging="0"/>
              <w:jc w:val="left"/>
              <w:rPr>
                <w:caps w:val="false"/>
                <w:smallCaps w:val="false"/>
              </w:rPr>
            </w:pPr>
            <w:r>
              <w:rPr>
                <w:caps w:val="false"/>
                <w:smallCaps w:val="false"/>
              </w:rPr>
              <w:t> </w:t>
            </w:r>
          </w:p>
        </w:tc>
      </w:tr>
      <w:tr>
        <w:trPr/>
        <w:tc>
          <w:tcPr>
            <w:tcW w:w="129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6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Treasurer and Secretary and Class III Director</w:t>
            </w:r>
          </w:p>
          <w:p>
            <w:pPr>
              <w:pStyle w:val="TableContents"/>
              <w:bidi w:val="0"/>
              <w:spacing w:before="0" w:after="0"/>
              <w:ind w:left="0" w:right="0" w:hanging="0"/>
              <w:jc w:val="both"/>
              <w:rPr>
                <w:caps w:val="false"/>
                <w:smallCaps w:val="false"/>
              </w:rPr>
            </w:pPr>
            <w:r>
              <w:rPr>
                <w:caps w:val="false"/>
                <w:smallCaps w:val="false"/>
              </w:rPr>
              <w:t> </w:t>
            </w:r>
          </w:p>
        </w:tc>
      </w:tr>
      <w:tr>
        <w:trPr/>
        <w:tc>
          <w:tcPr>
            <w:tcW w:w="129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Weiner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6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 Chairman of the Audit Committee and Member of the Compensation Committee and Corporate Governance and Nominating Committee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Andrew L. Sole </w:t>
      </w:r>
      <w:r>
        <w:rPr>
          <w:rFonts w:ascii="Times New Roman;Times;Serif" w:hAnsi="Times New Roman;Times;Serif"/>
          <w:b w:val="false"/>
          <w:i w:val="false"/>
          <w:caps w:val="false"/>
          <w:smallCaps w:val="false"/>
          <w:sz w:val="20"/>
        </w:rPr>
        <w:t>is the Co-founder and Managing Member of Esopus Creek Advisors, the General Partner to the Esopus Creek Value Series Fund LP (“Esopus”). Esopus, launched in August 2005, is based in East Hampton, N.Y. and is a concentrated long-term value investment fund focusing on investments in small and mid-capitalization public securities, both non-distressed and distressed public companies. Mr. Sole has over 30 years of investment experience, including investments in Chapter 11 corporate reorganizations. Mr. Sole has served as a fiduciary on both official creditor and official equity holder committees in numerous bankruptcy cases over the last 18 years, including serving as the Chair of the Equity Committee in the Lordstown Motors Corp. Chapter 11 case. Prior to Esopus, Mr. Sole was a managing partner of Esopus Creek Partners and Esopus Creek Capital, the predecessor firms to Esopus, from January 2002 until August 2005. Both firms focused on long-term investments in public securities. Mr. Sole holds a Bachelor of Science in Mathematics from Union College and a J.D (cum laude and a Member of the Order of the Coif) from the Benjamin N. Cardozo School of Law of Yeshiva University, and is a licensed attorney in New York. We believe Mr. Sole’s qualifications to serve on our Board include his extensive investment management, value investing, and strategic advisory knowledge and experience, his legal training and background as a licensed attorney, and his substantial experience as an engaged, long-term stockholder and board-level participant across multiple public companies in a range of industries.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Alexander C. Matina </w:t>
      </w:r>
      <w:r>
        <w:rPr>
          <w:rFonts w:ascii="Times New Roman;Times;Serif" w:hAnsi="Times New Roman;Times;Serif"/>
          <w:b w:val="false"/>
          <w:i w:val="false"/>
          <w:caps w:val="false"/>
          <w:smallCaps w:val="false"/>
          <w:sz w:val="20"/>
        </w:rPr>
        <w:t>has served as the Chief Executive Officer of the Company since September 2025. Mr. Matina is currently the Managing Member of LANECR Consulting LLC. From 2007 through 2023, Mr. Matina served in various leadership roles, including as Portfolio Manager, at MFP Investors LLC, which invested across both public and private markets. He has served on the board of directors of Standard Nuclear, a publicly traded nuclear fuel business, since 2025, Trinity Place Holdings Inc., a publicly traded company, since 2013, Range Capital Acquisition Corp, a special purpose acquisition company, since 2024, and Range Capital Acquisition II, a special purpose acquisition company, since 2025, Clearside Biomedical, a publicly traded company, since 2026, and S&amp;W Seed Company, a publicly traded agricultural company from 2015-2025. He is also a director of SIXGEN, a privately held cyber-security company. Mr. Matina previously served as a director of Crowheart Energy LLC, a private energy company, Madava Financial, a private energy-focused finance company, as well as other public and private boards. Mr. Matina received a Bachelor of Science in finance and accounting from Fordham University (summa cum laude) and an MBA from Columbia Business School. We believe that Mr. Matina’s qualifications to serve on our Board include his strong investment management and finance background, including experience with private equity as well as his experience with other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Neil Weiner</w:t>
      </w:r>
      <w:r>
        <w:rPr>
          <w:rFonts w:ascii="Times New Roman;Times;Serif" w:hAnsi="Times New Roman;Times;Serif"/>
          <w:b w:val="false"/>
          <w:i w:val="false"/>
          <w:caps w:val="false"/>
          <w:smallCaps w:val="false"/>
          <w:sz w:val="20"/>
        </w:rPr>
        <w:t> currently manages a private family partnership, Foxhill Family Partnership, LP, which was established in 2021. Prior to this, Mr. Weiner founded Foxhill Capital Partners, LLC in 2006 as the investment manager of the Foxhill Opportunity Fund, L.P., a private fund focused on distressed and special situation investments where he served as the Chief Investment Officer. He previously was a partner at the distressed firm Triage Capital Management. Additionally, he served on the board of directors of Cambium Learning Group, a private education technology company, from 2010 to 2013 and was chairman of the audit committee. Mr. Weiner holds a Bachelor of Arts from the University of Pennsylvania and an MBA from The Wharton School at the University of Pennsylvania. We believe that Mr. Weiner’s qualifications to serve on our Board include his substantial investment and fund management experience and his extensive knowledge of, and experience in, the areas of finance, investing and capital markets, which prior experiences also demonstrate his leadership capability and business acumen.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def_006"/>
      <w:bookmarkEnd w:id="9"/>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2024, upon the recommendation of the Compensation Committee and Lyons, Benenson &amp; Company Inc., the compensation consultant engaged by the Compensation Committee, the Board adopted the following updated director compensation program:</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$140,000 per year, payable $35,000 quarterly in advance ($210,000 for Chairman, payable $52,500 quarterly in advance)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Equity</w:t>
            </w:r>
            <w:r>
              <w:rPr>
                <w:rFonts w:ascii="Times New Roman;Times;Serif" w:hAnsi="Times New Roman;Times;Serif"/>
                <w:b w:val="false"/>
                <w:i w:val="false"/>
                <w:caps w:val="false"/>
                <w:smallCaps w:val="false"/>
                <w:sz w:val="20"/>
              </w:rPr>
              <w:t>: Annual RSU grant with a fair market value of $100,000 ($150,000 for Chairman), vesting in equal tranches on the first two anniversaries of the grant date, subject to acceleration in connection with a change in control. The grant date is the first trading day in January of each year.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elect to defer receipt of shares upon the earliest to occur of (i) five years from the grant date, (ii) a change in control or (iii) a separation of service. A director’s affirmative irrevocable election must be made in the calendar year prior to the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the compensation paid by us to each of our non-employee directors who served during the year ended December 31, 2025. Compensation that Mr. Matina received for his service as a director in 2025 prior to his appointment as Chief Executive Officer has been reported in the Summary Compensation Table above.</w:t>
      </w:r>
    </w:p>
    <w:p>
      <w:pPr>
        <w:pStyle w:val="TextBody"/>
        <w:bidi w:val="0"/>
        <w:spacing w:before="0" w:after="0"/>
        <w:ind w:left="0" w:right="0" w:firstLine="360"/>
        <w:jc w:val="both"/>
        <w:rPr>
          <w:caps w:val="false"/>
          <w:smallCaps w:val="false"/>
        </w:rPr>
      </w:pPr>
      <w:r>
        <w:rPr>
          <w:caps w:val="false"/>
          <w:smallCaps w:val="false"/>
        </w:rPr>
        <w:t> </w:t>
      </w:r>
    </w:p>
    <w:tbl>
      <w:tblPr>
        <w:tblW w:w="6989" w:type="dxa"/>
        <w:jc w:val="left"/>
        <w:tblInd w:w="0" w:type="dxa"/>
        <w:tblLayout w:type="fixed"/>
        <w:tblCellMar>
          <w:top w:w="0" w:type="dxa"/>
          <w:left w:w="0" w:type="dxa"/>
          <w:bottom w:w="28" w:type="dxa"/>
          <w:right w:w="0" w:type="dxa"/>
        </w:tblCellMar>
      </w:tblPr>
      <w:tblGrid>
        <w:gridCol w:w="1835"/>
        <w:gridCol w:w="60"/>
        <w:gridCol w:w="195"/>
        <w:gridCol w:w="1114"/>
        <w:gridCol w:w="60"/>
        <w:gridCol w:w="60"/>
        <w:gridCol w:w="175"/>
        <w:gridCol w:w="1000"/>
        <w:gridCol w:w="60"/>
        <w:gridCol w:w="60"/>
        <w:gridCol w:w="143"/>
        <w:gridCol w:w="1092"/>
        <w:gridCol w:w="60"/>
        <w:gridCol w:w="60"/>
        <w:gridCol w:w="140"/>
        <w:gridCol w:w="800"/>
        <w:gridCol w:w="75"/>
      </w:tblGrid>
      <w:tr>
        <w:trPr/>
        <w:tc>
          <w:tcPr>
            <w:tcW w:w="183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 Cash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pPr>
            <w:r>
              <w:rPr/>
              <w:t>Andrew Sole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210,000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0" w:type="dxa"/>
            <w:tcBorders/>
            <w:shd w:fill="CCEEFF" w:val="clear"/>
            <w:tcMar>
              <w:bottom w:w="0" w:type="dxa"/>
            </w:tcMar>
            <w:vAlign w:val="center"/>
          </w:tcPr>
          <w:p>
            <w:pPr>
              <w:pStyle w:val="TableContents"/>
              <w:bidi w:val="0"/>
              <w:spacing w:before="0" w:after="283"/>
              <w:jc w:val="right"/>
              <w:rPr/>
            </w:pPr>
            <w:r>
              <w:rPr/>
              <w:t>174,082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92"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384,082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Wartell</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w:t>
            </w:r>
          </w:p>
        </w:tc>
        <w:tc>
          <w:tcPr>
            <w:tcW w:w="1114"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1000" w:type="dxa"/>
            <w:tcBorders/>
            <w:shd w:fill="FFFFFF" w:val="clear"/>
            <w:tcMar>
              <w:bottom w:w="0" w:type="dxa"/>
            </w:tcMar>
            <w:vAlign w:val="center"/>
          </w:tcPr>
          <w:p>
            <w:pPr>
              <w:pStyle w:val="TableContents"/>
              <w:bidi w:val="0"/>
              <w:spacing w:before="0" w:after="283"/>
              <w:jc w:val="right"/>
              <w:rPr/>
            </w:pPr>
            <w:r>
              <w:rPr/>
              <w:t>84,055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224,055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pPr>
            <w:r>
              <w:rPr/>
              <w:t>Neil Weiner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0" w:type="dxa"/>
            <w:tcBorders/>
            <w:shd w:fill="CCEEFF" w:val="clear"/>
            <w:tcMar>
              <w:bottom w:w="0" w:type="dxa"/>
            </w:tcMar>
            <w:vAlign w:val="center"/>
          </w:tcPr>
          <w:p>
            <w:pPr>
              <w:pStyle w:val="TableContents"/>
              <w:bidi w:val="0"/>
              <w:spacing w:before="0" w:after="283"/>
              <w:jc w:val="right"/>
              <w:rPr/>
            </w:pPr>
            <w:r>
              <w:rPr/>
              <w:t>84,055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224,055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35" w:type="dxa"/>
            <w:tcBorders/>
            <w:shd w:fill="FFFFFF" w:val="clear"/>
            <w:tcMar>
              <w:bottom w:w="0" w:type="dxa"/>
            </w:tcMar>
            <w:vAlign w:val="center"/>
          </w:tcPr>
          <w:p>
            <w:pPr>
              <w:pStyle w:val="TableContents"/>
              <w:bidi w:val="0"/>
              <w:spacing w:before="0" w:after="283"/>
              <w:jc w:val="left"/>
              <w:rPr/>
            </w:pPr>
            <w:r>
              <w:rPr/>
              <w:t>Alexandre Zyngier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w:t>
            </w:r>
          </w:p>
        </w:tc>
        <w:tc>
          <w:tcPr>
            <w:tcW w:w="1114"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1000" w:type="dxa"/>
            <w:tcBorders/>
            <w:shd w:fill="FFFFFF" w:val="clear"/>
            <w:tcMar>
              <w:bottom w:w="0" w:type="dxa"/>
            </w:tcMar>
            <w:vAlign w:val="center"/>
          </w:tcPr>
          <w:p>
            <w:pPr>
              <w:pStyle w:val="TableContents"/>
              <w:bidi w:val="0"/>
              <w:spacing w:before="0" w:after="283"/>
              <w:jc w:val="right"/>
              <w:rPr/>
            </w:pPr>
            <w:r>
              <w:rPr/>
              <w:t>84,055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224,055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50" w:right="0" w:hanging="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in accordance with FASB ASC Topic 718. For 2025, the Chairman received an RSU grant with a fair market value of $174,082, comprised of (i) $24,082 for the retroactive equity fees owed for 2024 and (ii) $150,000 for 2025. For 2025, the other directors received an RSU grant with a fair market value of $84,055, with the remaining portion of the May 2024 RSU grant to the other directors equal to $15,945 credited against the equity fees owed under the updated director compensation program for 2025. As of December 31, 2025, each non-employee director held the following unvested RSUs: Mr. Sole: 162,364; and Messrs. Wartell, Weiner and Zyngier: 89,761.</w:t>
            </w:r>
          </w:p>
        </w:tc>
      </w:tr>
      <w:tr>
        <w:trPr/>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Wartell resigned from the Board effective as of June 30, 2026.</w:t>
            </w:r>
          </w:p>
        </w:tc>
      </w:tr>
    </w:tbl>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 w:name="xdx_98B_eecd--AwardTmgMnpiDiscTextBlock_"/>
      <w:bookmarkEnd w:id="10"/>
      <w:r>
        <w:rPr>
          <w:rFonts w:ascii="Times New Roman;Times;Serif" w:hAnsi="Times New Roman;Times;Serif"/>
          <w:b w:val="false"/>
          <w:i w:val="false"/>
          <w:caps w:val="false"/>
          <w:smallCaps w:val="false"/>
          <w:sz w:val="20"/>
        </w:rPr>
        <w:t>We currently only grant annual equity-based awards of RSUs to our Board in accordance with the “</w:t>
      </w:r>
      <w:r>
        <w:rPr>
          <w:rFonts w:ascii="Times New Roman;Times;Serif" w:hAnsi="Times New Roman;Times;Serif"/>
          <w:b w:val="false"/>
          <w:i/>
          <w:caps w:val="false"/>
          <w:smallCaps w:val="false"/>
          <w:sz w:val="20"/>
        </w:rPr>
        <w:t>Non-Employee Director Compensation Arrangements</w:t>
      </w:r>
      <w:r>
        <w:rPr>
          <w:rFonts w:ascii="Times New Roman;Times;Serif" w:hAnsi="Times New Roman;Times;Serif"/>
          <w:b w:val="false"/>
          <w:i w:val="false"/>
          <w:caps w:val="false"/>
          <w:smallCaps w:val="false"/>
          <w:sz w:val="20"/>
        </w:rPr>
        <w:t xml:space="preserve">” described above. Our current compensation arrangements do not contemplate option awards. The Compensation Committee may consider a modified or updated compensation program, from time to time based on business needs, changing compensation practices or other factors, in the discretion of the Compensation Committee. </w:t>
      </w:r>
      <w:bookmarkStart w:id="11" w:name="xdx_902_eecd--AwardTmgHowMnpiCnsdrdTextB"/>
      <w:bookmarkEnd w:id="11"/>
      <w:r>
        <w:rPr>
          <w:rFonts w:ascii="Times New Roman;Times;Serif" w:hAnsi="Times New Roman;Times;Serif"/>
          <w:b w:val="false"/>
          <w:i w:val="false"/>
          <w:caps w:val="false"/>
          <w:smallCaps w:val="false"/>
          <w:sz w:val="20"/>
        </w:rPr>
        <w:t xml:space="preserve">The Compensation Committee does not take into account material nonpublic information in determining the timing and terms of equity-based awards, and we have </w:t>
      </w:r>
      <w:bookmarkStart w:id="12" w:name="xdx_90C_eecd--AwardTmgMnpiCnsdrdFlag_dbF"/>
      <w:bookmarkEnd w:id="12"/>
      <w:r>
        <w:rPr>
          <w:rFonts w:ascii="Times New Roman;Times;Serif" w:hAnsi="Times New Roman;Times;Serif"/>
          <w:b w:val="false"/>
          <w:i w:val="false"/>
          <w:caps w:val="false"/>
          <w:smallCaps w:val="false"/>
          <w:sz w:val="20"/>
        </w:rPr>
        <w:t>not timed the disclosure of material nonpublic information for the purpose of affecting the value of executive compensation.</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def_007"/>
      <w:bookmarkEnd w:id="13"/>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1_001"/>
      <w:bookmarkEnd w:id="14"/>
      <w:r>
        <w:rPr>
          <w:rFonts w:ascii="Times New Roman;Times;Serif" w:hAnsi="Times New Roman;Times;Serif"/>
          <w:b/>
          <w:i w:val="false"/>
          <w:caps w:val="false"/>
          <w:smallCaps w:val="false"/>
          <w:sz w:val="20"/>
        </w:rPr>
        <w:t>Governance Role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under the direction of the Board of Directors, which is our ultimate decision-making body, except with respect to those matters reserved for our stockholders. The Board establishes overall corporate policies, evaluates our Chief Executive Officer and senior leadership team, and acts as an advisor and counselor to management. The Board also oversees our business strategy and planning, as well as the performance of management in executing our comprehensive business plan and managing our day-to-day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we changed the name of the company to Stark Novus Financial Inc., reflecting the Company’s accomplishments since emerging from Chapter 11 proceedings and over the past year in particular. In addition to continuing to preserve and protect the Company’s substantial net operating losses, which can be used to offset future income and capital gains as described in our SEC filings, among other things we have: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resolved all non-contingent bankruptcy claims, quickly and under budget, resulting in the release of $16.7 million </w:t>
            </w:r>
            <w:r>
              <w:rPr>
                <w:rFonts w:ascii="Times New Roman;Times;Serif" w:hAnsi="Times New Roman;Times;Serif"/>
                <w:b w:val="false"/>
                <w:i w:val="false"/>
                <w:caps w:val="false"/>
                <w:smallCaps w:val="false"/>
                <w:sz w:val="20"/>
                <w:u w:val="single"/>
              </w:rPr>
              <w:t>from restricted cash</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unrestricted cash on</w:t>
            </w:r>
            <w:r>
              <w:rPr>
                <w:rFonts w:ascii="Times New Roman;Times;Serif" w:hAnsi="Times New Roman;Times;Serif"/>
                <w:b w:val="false"/>
                <w:i w:val="false"/>
                <w:caps w:val="false"/>
                <w:smallCaps w:val="false"/>
                <w:sz w:val="20"/>
              </w:rPr>
              <w:t xml:space="preserve"> the Company’s balance sheet from the reserve established for allowed and disputed claims of general unsecured creditors;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deployed excess cash on the balance sheet to make an acquisition that is anticipated to be cash-flow positive in the first year, as well as several loans;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litigated substantial and complex claims, including the ongoing Foxconn matter and insurance coverage disputes;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identified and achieved cost savings each year since the Company emerged from bankruptcy.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we remain focused 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Continuing to pursue the litigations described in our periodic filings and including the Foxconn matter as well as seeking insurance coverage and reimbursement for advanced defense costs for legacy claims, as well as monitoring the other actions related to the bankruptcy case and described in our filings, including the class action lawsuit against certain prior affiliates of the Company;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deploying additional excess cash prudently on a risk-adjusted basis, while retaining a strong balance sheet;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Affinity organically and potentially through targeted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def_008"/>
      <w:bookmarkEnd w:id="15"/>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currently provide that our Board leadership structure consists of a Chairman of the Board and a Chief Executive Officer both appointed by the Board. These positions may be filled by one individual or by two different individuals. Our Corporate Governance Guidelines provide that if the Chairman of the Board is not an independent director, the Board will appoint an independent director to serve as the Board’s Lead Independent Director. The primary responsibilities of the Lead Independent Director include presiding at all meetings of the Board at which the Chairman of the Board is not present, including executive sessions of the independent directors, serving as a liaison between the Chairman of the Board and/or the Chief Executive Officer and the independent directors, reviewing and approving meeting agendas, meeting schedules and information sent to the Board and being available for consultation and direct communication with stockholders, as requested and as appropriate. The Lead Independent Director also has the authority to call meetings of the independent directors of the Board or meetings of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Chairman of the Board is Andrew Sole, and our current Chief Executive Officer is Alexander Matina. We believe that the separation of these offices is currently appropriate and that it is in our best interests to make these determinations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def_009"/>
      <w:bookmarkEnd w:id="16"/>
      <w:r>
        <w:rPr>
          <w:rFonts w:ascii="Times New Roman;Times;Serif" w:hAnsi="Times New Roman;Times;Serif"/>
          <w:b/>
          <w:i w:val="false"/>
          <w:caps w:val="false"/>
          <w:smallCaps w:val="false"/>
          <w:sz w:val="20"/>
        </w:rPr>
        <w:t>Board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maintains oversight of the Company’s risk management processes. The Compensation Committee periodically evaluates whether there are any risks arising from the Company’s compensation policies for employees and overall actual compensation practices that are reasonably likely to have a material adverse effect on the Company and recommends to the Board any changes deemed appropriate by such committee. The Audit Committee reviews and discusses with management and the independent registered public accounting firm the Company’s major enterprise risk exposures and the steps management has taken to monitor and control those exposures. Such review and discussion includes the Company’s policies addressing risk assessment and risk management of our operational, financial, accounting and tax matters.</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def_010"/>
      <w:bookmarkEnd w:id="17"/>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is responsible for evaluating the independence of directors and director nominees against the independence requirements promulgated by the SEC and makes recommendations to the Board as to the independence of directors and nominees. The Board has determined that each of the non-employee directors qualify as independent directors under the NASDAQ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def_011"/>
      <w:bookmarkEnd w:id="18"/>
      <w:r>
        <w:rPr>
          <w:rFonts w:ascii="Times New Roman;Times;Serif" w:hAnsi="Times New Roman;Times;Serif"/>
          <w:b/>
          <w:i w:val="false"/>
          <w:caps w:val="false"/>
          <w:smallCaps w:val="false"/>
          <w:sz w:val="20"/>
        </w:rPr>
        <w:t>Board of Directors Meetings and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held four meetings during the 2025 fiscal year. All directors then in office attended at least 75% of all meetings of the Board and committees of which he was a member during 2025. Although the Company does not have a formal policy regarding attendance by members of the Board at the Company’s annual meetings of stockholders, directors are encouraged to attend.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def_012"/>
      <w:bookmarkEnd w:id="19"/>
      <w:r>
        <w:rPr>
          <w:rFonts w:ascii="Times New Roman;Times;Serif" w:hAnsi="Times New Roman;Times;Serif"/>
          <w:b/>
          <w:i w:val="false"/>
          <w:caps w:val="false"/>
          <w:smallCaps w:val="false"/>
          <w:sz w:val="20"/>
        </w:rPr>
        <w:t>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further described below, the Board has three standing committees: the Audit Committee, the Compensation Committee and the Corporate Governance and Nominating Committee. Each of the Board committees is comprised solely of independent directors, and the Board may appoint a chair to each committee. Each of the committees operates under a written charter. A copy of the committee charters is available on our website at </w:t>
      </w:r>
      <w:r>
        <w:rPr>
          <w:rFonts w:ascii="Times New Roman;Times;Serif" w:hAnsi="Times New Roman;Times;Serif"/>
          <w:b w:val="false"/>
          <w:i/>
          <w:caps w:val="false"/>
          <w:smallCaps w:val="false"/>
          <w:sz w:val="20"/>
        </w:rPr>
        <w:t>www.starknovusfinancial.com</w:t>
      </w:r>
      <w:r>
        <w:rPr>
          <w:rFonts w:ascii="Times New Roman;Times;Serif" w:hAnsi="Times New Roman;Times;Serif"/>
          <w:b w:val="false"/>
          <w:i w:val="false"/>
          <w:caps w:val="false"/>
          <w:smallCaps w:val="false"/>
          <w:sz w:val="20"/>
        </w:rPr>
        <w:t xml:space="preserve"> under the Governance tab and may also be obtained without charge by written request to Investor Relations, Stark Novus Financial Inc.,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Mr. Weiner (Chair) and Messrs. Burkett, Sole and Zyngier. The Board determined that each of these members of the Audit Committee satisfies the independence requirements of the rules of the NASDAQ Stock Market (“NASDAQ Rules”) and Rule 10A-3 under the Exchange Act. Each of these members of the Audit Committee can read and understand fundamental financial statements in accordance with NASDAQ Rules related to audit committee requirements and the Board has determined that each of Mr. Weiner and Mr. Zyngier qualifies as an audit committee financial expert within the meaning of SEC regulations. During the 2025 fiscal year, the Audit Committee held four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are to oversee the accounting and financial reporting processes of the Company and the audits of the financial statements of the Company and (i) to assist the Board in oversight of the integrity of the Company’s financial statements, the Company’s compliance with legal and regulatory requirements, the independent auditor’s qualifications, independence and performance, the organization and performance of the Company’s internal audit function, the Company’s internal accounting and financial controls, the Company’s treasury and finance matters, and the Company’s risk management and assessment pertaining to, amongst other matters, the financial, operational, accounting and tax matters of the Company, including data privacy and security; (ii) to provide to the Board such information and materials as it may deem necessary to make the Board aware of significant financial matters that require the attention of the Board; and (iii) to prepare the report required to be prepared by the Audit Committee pursuant to the rules and regulations of the SEC for inclusion in the Company’s annual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Mr. Zyngier (Chair), Mr. Sole and Mr. Weiner. The Board determined that each of the members of the Compensation Committee is a non-employee director, as defined in Rule 16b-3 promulgated under the Exchange Act, and satisfies the independence requirements of the NASDAQ Rules. The Compensation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 The Compensation Committee is authorized to retain the services of one or more executive compensation advisors to assist with the establishment and review of our compensation programs and related policies. The Compensation Committee did not engage a compensation consultant during the 2025 fiscal year. During the 2025 fiscal year, the Compensation Committee held one meeting.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Compensation Committee include (i) together with the Company’s other independent directors, discharging the Board’s responsibilities relating to the compensation of the Company’s executive officers and directors with the intent to attract, retain, appropriately reward and motivate performance in the achievement of the Company’s business objectives and align such persons’ interests with the long-term interests of the Company’s stockholders and (ii) reviewing and recommending to the Board employee compensation plans, policies and programs.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Governance and Nominating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consists of Mr. Zyngier (Chair), Mr. Burkett and Mr. Weiner. The Board determined that each of the members of the Corporate Governance and Nominating Committee satisfied the independence requirements of the NASDAQ Rules. The Corporate Governance and Nominating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 During the 2025 fiscal year, the Corporate Governance and Nominating committee held one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is responsible for (i) identifying, evaluating and recommending individuals qualified to become members of the Board, consistent with criteria approved by the Board, (ii) selecting, or recommending that the Board select, the director nominees to stand for election at each annual meeting of stockholders of the Company or to fill vacancies on the Board, (iii) assessing and making recommendations to the Board concerning the Company’s Corporate Governance Guidelines, (iv) overseeing the annual performance evaluation of the Board and its committees and management and (v) recommending directors to serve on the committees of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Process and Considerations for Nominating Board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objective is that its membership be composed of a diverse group of experienced and dedicated individuals. The Corporate Governance and Nominating Committee is responsible for identifying, evaluating, recruiting, and recommending qualified candidates to the Board for nomination or election and for filling vacancies occurring between annual meetings of stockholders. Candidates for membership on the Board will be reviewed in the context of the existing membership of the Board, the operating requirements of the Company, and the long-term interests of stockholders. A director’s qualifications in light of these criteria are considered at least each time such director is renominated for Board membership. The Corporate Governance and Nominating Committee may apply several criteria in selecting nominees. At a minimum, the Corporate Governance and Nominating Committee considers: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qualities and characteristics, accomplishments and reputation in the business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knowledge and contacts in the communities in which the Company does business and in the Company’s industry or other industries relevant to the Company’s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and willingness to commit adequate time to Board and committee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fit of the individual’s skills and personality with those of other directors and potential directors in building a Board that is effective, collegial and responsive to the needs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of viewpoints, background, experience and other demographics.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and identifying candidates, the Corporate Governance and Nominating Committee has the authority to retain and terminate any third-party search firm that is used to identify director candidates and has the authority to approve the fees and retention terms of any search firm. With regard to any candidates who are properly recommended by stockholders (as described in more detail below) or by other sources, the Corporate Governance and Nominating Committee reviews the qualifications of any such candidate. After completing its review and evaluation of director candidates, the Corporate Governance and Nominating Committee recommends the director nominees that it has determined to be qualified to the full Board.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desiring to suggest a candidate for consideration by the Nominating and Corporate Governance Committee must do so in accordance with our Bylaws and the securities laws, and should send a letter to the attention of the Secretary of the Company, at our principal executive offices,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Attention: Secretary, and include the information required by our Bylaws.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rma_001"/>
      <w:bookmarkEnd w:id="20"/>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directors and beneficial owners of more than 10% of any registered class of our equity securities (each such person a “reporting person”) to file with the SEC initial reports of ownership and reports of changes in such ownership. Based solely on a review of the forms and amendments thereto filed electronically by any reporting person with the SEC during or with respect to 2025 and written representations from any such reporting person that no Form 5 is required, we believe that all reports applicable to such reporting persons were filed in a timely manner in accordance with Section 16(a)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rma_002"/>
      <w:bookmarkEnd w:id="21"/>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22" w:name="xdx_90A_eecd--InsiderTrdPoliciesProcAdop"/>
      <w:bookmarkEnd w:id="22"/>
      <w:r>
        <w:rPr>
          <w:rFonts w:ascii="Times New Roman;Times;Serif" w:hAnsi="Times New Roman;Times;Serif"/>
          <w:b w:val="false"/>
          <w:i w:val="false"/>
          <w:caps w:val="false"/>
          <w:smallCaps w:val="false"/>
          <w:sz w:val="20"/>
        </w:rPr>
        <w:t xml:space="preserve">adopted an Insider Trading Policy which governs the purchase, sale and/or any other dispositions of our securities by the Company and its directors, officers and employees and is reasonably designed to promote compliance with insider trading laws, rules and regulations and applicable exchange listing standards. A copy of our Insider Trading Policy is filed as Exhibit 19.1 to our Annual Report on Form 10-K for the year ended December 31, 2025 and is also available on our website at </w:t>
      </w:r>
      <w:r>
        <w:rPr>
          <w:rFonts w:ascii="Times New Roman;Times;Serif" w:hAnsi="Times New Roman;Times;Serif"/>
          <w:b w:val="false"/>
          <w:i/>
          <w:caps w:val="false"/>
          <w:smallCaps w:val="false"/>
          <w:sz w:val="20"/>
        </w:rPr>
        <w:t>www.starknovusfinancial.com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 Short Sales and Pledging of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prohibits our Board members and executive officers from engaging in short sales, buying or selling put options, call options or other derivatives of the Company’s securities or engaging in hedging transactions or investing in financial instruments (including prepaid variable forward contracts, equity swaps, collars and exchange funds) that are designed to hedge or offset any decrease in the market value of the Company’s securities. Our Insider Trading Policy also provides that Board members and executive officers who desire to place Company securities in a margin account, pledge Company securities as collateral for a loan or modify an existing margin account or pledge arrangement must submit a written request for approval of the proposed transaction or modification to the General Counsel or a designee thereof at least two weeks prior to the proposed transaction. The General Counsel will have the sole discretion in determining whether to approve a margin or pledge transaction submitted for pre-approval and there is no assurance that approval will be granted. For purposes of the Insider Trading Policy, the General Counsel means the general counsel of the Company or the principal outside counsel of the Company in consultation with the Chief Executive Officer of the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rma_003"/>
      <w:bookmarkEnd w:id="23"/>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bookmarkStart w:id="24" w:name="xdx_90C_eecd--ErrCompAnalysisTextBlock_c"/>
      <w:bookmarkEnd w:id="24"/>
      <w:r>
        <w:rPr>
          <w:rFonts w:ascii="Times New Roman;Times;Serif" w:hAnsi="Times New Roman;Times;Serif"/>
          <w:b w:val="false"/>
          <w:i w:val="false"/>
          <w:caps w:val="false"/>
          <w:smallCaps w:val="false"/>
          <w:sz w:val="20"/>
        </w:rPr>
        <w:t xml:space="preserve">The Board has adopted a clawback policy effective as of </w:t>
      </w:r>
      <w:bookmarkStart w:id="25" w:name="xdx_904_eecd--RestatementDeterminationDa"/>
      <w:bookmarkEnd w:id="25"/>
      <w:r>
        <w:rPr>
          <w:rFonts w:ascii="Times New Roman;Times;Serif" w:hAnsi="Times New Roman;Times;Serif"/>
          <w:b w:val="false"/>
          <w:i w:val="false"/>
          <w:caps w:val="false"/>
          <w:smallCaps w:val="false"/>
          <w:sz w:val="20"/>
        </w:rPr>
        <w:t>October 2, 2023 that provides for the recovery of all erroneously awarded compensation received by an executive officer in the event of an accounting restatement due to material noncompliance with any financial reporting requirement under the securities laws, as required under Section 10D of the Exchange Act, Rule 10D-1 promulgated under the Exchange Act and the exchange listing standards. A copy of our Clawback Policy is filed as Exhibit 97.1 to our Annual Report on Form 10-K for the year ended December 31, 2025.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rma_004"/>
      <w:bookmarkEnd w:id="26"/>
      <w:r>
        <w:rPr>
          <w:rFonts w:ascii="Times New Roman;Times;Serif" w:hAnsi="Times New Roman;Times;Serif"/>
          <w:b/>
          <w:i w:val="false"/>
          <w:caps w:val="false"/>
          <w:smallCaps w:val="false"/>
          <w:sz w:val="20"/>
        </w:rPr>
        <w:t>Code of Ethics and 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(the “Code of Ethics”), which is applicable to our directors, officers and employees. We have also adopted Corporate Governance Guidelines. The Code of Ethics, Corporate Governance Guidelines, and the committee charters are each available on the Company’s website at </w:t>
      </w:r>
      <w:r>
        <w:rPr>
          <w:rFonts w:ascii="Times New Roman;Times;Serif" w:hAnsi="Times New Roman;Times;Serif"/>
          <w:b w:val="false"/>
          <w:i/>
          <w:caps w:val="false"/>
          <w:smallCaps w:val="false"/>
          <w:sz w:val="20"/>
        </w:rPr>
        <w:t>www.starknovusfinancial.com</w:t>
      </w:r>
      <w:r>
        <w:rPr>
          <w:rFonts w:ascii="Times New Roman;Times;Serif" w:hAnsi="Times New Roman;Times;Serif"/>
          <w:b w:val="false"/>
          <w:i w:val="false"/>
          <w:caps w:val="false"/>
          <w:smallCaps w:val="false"/>
          <w:sz w:val="20"/>
        </w:rPr>
        <w:t>. We will disclose on our website any amendment to the Code of Ethics, as well as any waivers of the Code of Ethics, which are required to be disclosed by the rules of the SEC.</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rma_005"/>
      <w:bookmarkEnd w:id="27"/>
      <w:r>
        <w:rPr>
          <w:rFonts w:ascii="Times New Roman;Times;Serif" w:hAnsi="Times New Roman;Times;Serif"/>
          <w:b/>
          <w:i w:val="false"/>
          <w:caps w:val="false"/>
          <w:smallCaps w:val="false"/>
          <w:sz w:val="20"/>
        </w:rPr>
        <w:t>PROPOSAL TWO — RATIFICATION OF APPOINTMENT OF BDO AS THE COMPANY’S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rma_006"/>
      <w:bookmarkEnd w:id="28"/>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selected BDO as the Company’s independent registered public accounting firm to audit the consolidated financial statements of the Company for the fiscal year ending December 31, 2026, which will include an audit of the effectiveness of the Company’s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BDO are expected to be present at the meeting and will have the opportunity to make a statement if they so desire and to respond to appropriate questions.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selection of our independent registered public accounting firm is a matter of good corporate practice. In the event that this selection is not ratified by the affirmative vote of a majority of the shares cast during the meeting or by proxy of stockholders entitled to vote at the meeting, the appointment of the independent registered public accounting firm may be reconsidered by the Audit Committee. Even if the selection is ratified, the Audit Committee may, in its discretion direct the appointment of a different accounting firm at any time during the year if the Audit Committee determines that such a change would be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rma_007"/>
      <w:bookmarkEnd w:id="29"/>
      <w:r>
        <w:rPr>
          <w:rFonts w:ascii="Times New Roman;Times;Serif" w:hAnsi="Times New Roman;Times;Serif"/>
          <w:b/>
          <w:i w:val="false"/>
          <w:caps w:val="false"/>
          <w:smallCaps w:val="false"/>
          <w:sz w:val="20"/>
        </w:rPr>
        <w:t>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fees for professional services rendered by BDO for the audit of our annual financial statements for the year ended December 31, 2025 and December 31, 2024, and the fees billed for other services rendered by BDO in those periods.</w:t>
      </w:r>
    </w:p>
    <w:p>
      <w:pPr>
        <w:pStyle w:val="TextBody"/>
        <w:bidi w:val="0"/>
        <w:spacing w:before="0" w:after="0"/>
        <w:ind w:left="0" w:right="0" w:firstLine="360"/>
        <w:jc w:val="both"/>
        <w:rPr>
          <w:caps w:val="false"/>
          <w:smallCaps w:val="false"/>
        </w:rPr>
      </w:pPr>
      <w:r>
        <w:rPr>
          <w:caps w:val="false"/>
          <w:smallCaps w:val="false"/>
        </w:rPr>
        <w:t> </w:t>
      </w:r>
    </w:p>
    <w:tbl>
      <w:tblPr>
        <w:tblW w:w="4000" w:type="dxa"/>
        <w:jc w:val="left"/>
        <w:tblInd w:w="0" w:type="dxa"/>
        <w:tblLayout w:type="fixed"/>
        <w:tblCellMar>
          <w:top w:w="0" w:type="dxa"/>
          <w:left w:w="0" w:type="dxa"/>
          <w:bottom w:w="28" w:type="dxa"/>
          <w:right w:w="0" w:type="dxa"/>
        </w:tblCellMar>
      </w:tblPr>
      <w:tblGrid>
        <w:gridCol w:w="1865"/>
        <w:gridCol w:w="60"/>
        <w:gridCol w:w="140"/>
        <w:gridCol w:w="800"/>
        <w:gridCol w:w="60"/>
        <w:gridCol w:w="60"/>
        <w:gridCol w:w="140"/>
        <w:gridCol w:w="800"/>
        <w:gridCol w:w="75"/>
      </w:tblGrid>
      <w:tr>
        <w:trPr/>
        <w:tc>
          <w:tcPr>
            <w:tcW w:w="1865" w:type="dxa"/>
            <w:tcBorders>
              <w:bottom w:val="single" w:sz="8" w:space="0" w:color="000000"/>
            </w:tcBorders>
            <w:vAlign w:val="center"/>
          </w:tcPr>
          <w:p>
            <w:pPr>
              <w:pStyle w:val="TableContents"/>
              <w:bidi w:val="0"/>
              <w:spacing w:before="0" w:after="283"/>
              <w:jc w:val="left"/>
              <w:rPr>
                <w:b/>
              </w:rPr>
            </w:pPr>
            <w:r>
              <w:rPr>
                <w:b/>
              </w:rPr>
              <w:t>Fee Category</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Tax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All Other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Total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Fees. </w:t>
      </w:r>
      <w:r>
        <w:rPr>
          <w:rFonts w:ascii="Times New Roman;Times;Serif" w:hAnsi="Times New Roman;Times;Serif"/>
          <w:b w:val="false"/>
          <w:i w:val="false"/>
          <w:caps w:val="false"/>
          <w:smallCaps w:val="false"/>
          <w:sz w:val="20"/>
        </w:rPr>
        <w:t>The aggregate audit fees (inclusive of out-of-pocket expenses) billed by BDO were for professional services rendered for the audit of our annual financial statements and internal control over financial reporting, review of financial statements included in our Annual Report on Form 10-K and Quarterly Reports on Form 10-Q filed with the SEC, and for services that are normally provided by the independent registered public accounting firm in connection with statutory and regulatory filings or engagements.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fees set forth in the table above were pre-approved by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rma_008"/>
      <w:bookmarkEnd w:id="30"/>
      <w:r>
        <w:rPr>
          <w:rFonts w:ascii="Times New Roman;Times;Serif" w:hAnsi="Times New Roman;Times;Serif"/>
          <w:b/>
          <w:i w:val="false"/>
          <w:caps w:val="false"/>
          <w:smallCaps w:val="false"/>
          <w:sz w:val="20"/>
        </w:rPr>
        <w:t>Pre-Approval of Audit and Non-Audit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established a policy to review and approve the engagement of our independent registered public accounting firm to perform audit services and any permissible non-audit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The Board Recommends a Vote </w:t>
      </w:r>
      <w:r>
        <w:rPr>
          <w:rFonts w:ascii="Times New Roman;Times;Serif" w:hAnsi="Times New Roman;Times;Serif"/>
          <w:b/>
          <w:i/>
          <w:smallCaps/>
          <w:sz w:val="20"/>
        </w:rPr>
        <w:t>FOR</w:t>
      </w:r>
      <w:r>
        <w:rPr>
          <w:rFonts w:ascii="Times New Roman;Times;Serif" w:hAnsi="Times New Roman;Times;Serif"/>
          <w:b/>
          <w:i w:val="false"/>
          <w:smallCaps/>
          <w:sz w:val="20"/>
        </w:rPr>
        <w:t xml:space="preserve"> the Ratification of the Appointment of BDO as the Company’s Independent Registered Public Accounting Firm for the Fiscal Year Ending December 31, 2026.</w:t>
      </w:r>
    </w:p>
    <w:p>
      <w:pPr>
        <w:pStyle w:val="TextBody"/>
        <w:bidi w:val="0"/>
        <w:spacing w:before="0" w:after="0"/>
        <w:ind w:left="0" w:right="0" w:hanging="0"/>
        <w:jc w:val="center"/>
        <w:rPr>
          <w:smallCaps/>
        </w:rPr>
      </w:pPr>
      <w:r>
        <w:rPr>
          <w:small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rma_009"/>
      <w:bookmarkEnd w:id="31"/>
      <w:r>
        <w:rPr>
          <w:rFonts w:ascii="Times New Roman;Times;Serif" w:hAnsi="Times New Roman;Times;Serif"/>
          <w:b/>
          <w:i w:val="false"/>
          <w:caps w:val="false"/>
          <w:smallCaps w:val="false"/>
          <w:sz w:val="20"/>
        </w:rPr>
        <w:t>REPORT OF THE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report of the Audit Committee does not constitute soliciting material and should not and will not be deemed filed or incorporated by reference into any other Company filing under the Securities Act of 1933, as amended, or the Exchange Act, except to the extent the Company specifically incorporates this report by reference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fulfilling the Board’s responsibilities as they relate to overseeing our accounting and financial reporting processes and the audits of our financial statements, monitoring the integrity of our financial statements, monitoring compliance with legal and regulatory requirements, and monitoring the independence, qualifications and performance of the independent auditors.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the Audit Committee has reviewed and discussed the audited financial statements with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meets in executive session regularly with BDO USA, P.C., our independent registered public accounting firm. The Audit Committee has discussed with BDO USA, P.C. the matters required to be discussed by the applicable requirements of the Public Company Accounting Oversight Board, or PCAOB and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received the written disclosures and the letter from BDO USA, P.C., as required by applicable requirements of the PCAOB, regarding BDO USA, P.C.’s communications with the Audit Committee concerning independence, and the Audit Committee has discussed with BDO USA, P.C. its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and discussions regarding our audited consolidated financial statements and our internal control over financial reporting with management, our internal auditors and the independent registered public accounting firm and the other reviews and discussions with the independent registered public accounting firm referred to in the preceding paragraph, subject to the limitations on the Audit Committee’s roles and responsibilities described above and in the Audit Committee charter, the Audit Committee recommended to the Board of Directors that our audited consolidated financial statements be included in our Annual Report on Form 10-K for the year ended December 31, 2025 for filing with the SEC.</w:t>
      </w:r>
    </w:p>
    <w:p>
      <w:pPr>
        <w:pStyle w:val="TextBody"/>
        <w:bidi w:val="0"/>
        <w:spacing w:before="0" w:after="0"/>
        <w:ind w:left="0" w:right="0" w:firstLine="360"/>
        <w:jc w:val="left"/>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75"/>
        <w:gridCol w:w="2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 of the Audit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Weiner (Chair)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Burkett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Sole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Alexandre Zyngier</w:t>
            </w:r>
          </w:p>
        </w:tc>
      </w:tr>
    </w:tbl>
    <w:p>
      <w:pPr>
        <w:pStyle w:val="TextBody"/>
        <w:bidi w:val="0"/>
        <w:spacing w:before="0" w:after="0"/>
        <w:ind w:left="648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rma_010"/>
      <w:bookmarkEnd w:id="3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Approval or Ratification of 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has adopted a Related Party Transaction Policy that sets forth policies and procedures for the review and approval or ratification of any transaction, arrangement or relationship, or any series of similar transactions, arrangements or relationships in which any executive officer, director or nominee for director, any shareholder beneficially owning 5% or more of any class of the Company’s voting securities, or an immediate family member of any such person, or any entity that is controlled by any of the foregoing persons, had, has or will have a direct or indirect material interest that would need to be disclosed under Item 404(a) of Regulation S-K (a “Related Party Transaction”), including any material amendment or modification to an existing Related Party Transaction. Pursuant to this policy, the Audit Committee reviews and approves any proposed Related Party Transaction, considering, among other factors, whether the Related Party Transaction is fair to the Company and is proposed to be, or was, entered into on terms no less favorable to the Company than terms that could have been reached with an unrelated third party and whether the Related Party Transaction would present an improper conflict of interests for any director or executive officer of the Company, taking into account the size of the transaction, the overall financial position of the director, executive officer or related party, the direct or indirect nature of the director’s, executive officer’s or related party’s interest in the transaction and the ongoing nature of any proposed relationship. The Audit Committee may then approve or disapprove the transaction in its discretion. Any Related Party Transaction will be disclosed in the applicable SEC filing as required by the rules of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prior to the Company’s filing for bankruptcy protection, 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 Foxconn’s beneficial ownership of Class A common stock exceeded 5% as of November 2022 causing Foxconn to become a related party. See Part I – Item 1 – Business – Foxconn Transactions and Note 8 – Commitments and Contingencies of the Annual Report on Form 10-K for the year ended December 31, 2025 for additional information regarding the terms and status of the Foxconn Transactions. For the year ended December 31, 2025, the Company made no payments, and had no amounts payable, to Foxconn.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Engagement Letter to M3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 who served as the Company’s Chief Executive Officer from the March 14, 2024 until September 26, 2025, is a principal of M3 Partners. M3 Partners served as the Equity Committee’s financial consultant during the bankruptcy proceedings. Upon emergence from bankruptcy, the Company engaged M3 Partners to provide executive management and support services pursuant to the terms of the Engagement Agreement. While serving as the Company’s Chief Executive Officer, Mr. Gallagher remained employed by M3 Partners and provided his services pursuant to the Engagement Agreement. In connection with the appointment of Alexander Matina as the Company’s Chief Executive Officer on September 26, 2025, the Company entered into the Amended Engagement Agreement with M3 Partners to reflect that William Gallagher would no longer be serving in the role of Chief Executive Officer of the Company. The Amended M3 Engagement Letter provides that M3 Partners will continue to provide support to the Company, including a litigation trustee, in evaluating and managing its operations, assets and liabilities, and such other services as M3 Partners and the Company otherwise agree in 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Engagement Agreement, M3 Partners’ fees are calculated on an hourly basis. The Company incurred approximately $0.9 million in fees payable to M3 Partners under the Engagement Agreement and Amended Engagement Agreement for the year ended December 31, 2025.</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rma_011"/>
      <w:bookmarkEnd w:id="33"/>
      <w:r>
        <w:rPr>
          <w:rFonts w:ascii="Times New Roman;Times;Serif" w:hAnsi="Times New Roman;Times;Serif"/>
          <w:b/>
          <w:i w:val="false"/>
          <w:caps w:val="false"/>
          <w:smallCaps w:val="false"/>
          <w:sz w:val="20"/>
        </w:rPr>
        <w:t>OWNERSHIP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by us regarding the beneficial ownership of our Class A common stock and our Preferred Stock as of September 15, 2026,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by us to be the beneficial owner of more than 5% of the outstanding shares of Class A common stock or the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NEOs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restricted stock units that vest within 60 days. The beneficial ownership percentages set forth in the table below are based on 16,369,293 shares of Class A common stock issued and outstanding as of September 15, 2026. Unless otherwise noted, the address for each beneficial owner listed below is 1700 Broadway, 19th Floor, New York, NY 10019.</w:t>
      </w:r>
    </w:p>
    <w:p>
      <w:pPr>
        <w:pStyle w:val="TextBody"/>
        <w:bidi w:val="0"/>
        <w:spacing w:before="0" w:after="0"/>
        <w:ind w:left="0" w:right="0" w:firstLine="360"/>
        <w:jc w:val="both"/>
        <w:rPr>
          <w:caps w:val="false"/>
          <w:smallCaps w:val="false"/>
        </w:rPr>
      </w:pPr>
      <w:r>
        <w:rPr>
          <w:caps w:val="false"/>
          <w:smallCaps w:val="false"/>
        </w:rPr>
        <w:t> </w:t>
      </w:r>
    </w:p>
    <w:tbl>
      <w:tblPr>
        <w:tblW w:w="9810" w:type="dxa"/>
        <w:jc w:val="left"/>
        <w:tblInd w:w="0" w:type="dxa"/>
        <w:tblLayout w:type="fixed"/>
        <w:tblCellMar>
          <w:top w:w="0" w:type="dxa"/>
          <w:left w:w="0" w:type="dxa"/>
          <w:bottom w:w="0" w:type="dxa"/>
          <w:right w:w="0" w:type="dxa"/>
        </w:tblCellMar>
      </w:tblPr>
      <w:tblGrid>
        <w:gridCol w:w="6260"/>
        <w:gridCol w:w="60"/>
        <w:gridCol w:w="83"/>
        <w:gridCol w:w="1357"/>
        <w:gridCol w:w="83"/>
        <w:gridCol w:w="83"/>
        <w:gridCol w:w="198"/>
        <w:gridCol w:w="1456"/>
        <w:gridCol w:w="230"/>
      </w:tblGrid>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 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Beneficially Owned</w:t>
            </w:r>
          </w:p>
        </w:tc>
        <w:tc>
          <w:tcPr>
            <w:tcW w:w="230" w:type="dxa"/>
            <w:tcBorders/>
            <w:vAlign w:val="center"/>
          </w:tcPr>
          <w:p>
            <w:pPr>
              <w:pStyle w:val="TableContents"/>
              <w:bidi w:val="0"/>
              <w:spacing w:before="0" w:after="283"/>
              <w:jc w:val="left"/>
              <w:rPr/>
            </w:pPr>
            <w:r>
              <w:rPr/>
              <w:t> </w:t>
            </w:r>
          </w:p>
        </w:tc>
      </w:tr>
      <w:tr>
        <w:trPr/>
        <w:tc>
          <w:tcPr>
            <w:tcW w:w="6260" w:type="dxa"/>
            <w:tcBorders>
              <w:bottom w:val="single" w:sz="8" w:space="0" w:color="000000"/>
            </w:tcBorders>
            <w:tcMar>
              <w:bottom w:w="28" w:type="dxa"/>
            </w:tcMar>
            <w:vAlign w:val="center"/>
          </w:tcPr>
          <w:p>
            <w:pPr>
              <w:pStyle w:val="TableContents"/>
              <w:bidi w:val="0"/>
              <w:spacing w:before="0" w:after="283"/>
              <w:jc w:val="center"/>
              <w:rPr>
                <w:b/>
              </w:rPr>
            </w:pPr>
            <w:r>
              <w:rPr>
                <w:b/>
              </w:rPr>
              <w:t>Name and Address of Beneficial Owner</w:t>
            </w:r>
          </w:p>
        </w:tc>
        <w:tc>
          <w:tcPr>
            <w:tcW w:w="60"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 Class</w:t>
            </w:r>
          </w:p>
        </w:tc>
        <w:tc>
          <w:tcPr>
            <w:tcW w:w="23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b/>
              </w:rPr>
            </w:pPr>
            <w:r>
              <w:rPr>
                <w:b/>
              </w:rPr>
              <w:t>Current 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Matina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82,245</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Burkett</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Sole</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890,547</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pPr>
            <w:r>
              <w:rPr/>
              <w:t>5.4</w:t>
            </w:r>
          </w:p>
        </w:tc>
        <w:tc>
          <w:tcPr>
            <w:tcW w:w="230" w:type="dxa"/>
            <w:tcBorders/>
            <w:shd w:fill="FFFFFF" w:val="clear"/>
            <w:vAlign w:val="center"/>
          </w:tcPr>
          <w:p>
            <w:pPr>
              <w:pStyle w:val="TableContents"/>
              <w:bidi w:val="0"/>
              <w:spacing w:before="0" w:after="283"/>
              <w:jc w:val="left"/>
              <w:rPr/>
            </w:pPr>
            <w:r>
              <w:rPr/>
              <w:t>%</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Neil Weiner</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738,958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4.5</w:t>
            </w:r>
          </w:p>
        </w:tc>
        <w:tc>
          <w:tcPr>
            <w:tcW w:w="230" w:type="dxa"/>
            <w:tcBorders/>
            <w:shd w:fill="CCEEFF" w:val="clear"/>
            <w:vAlign w:val="center"/>
          </w:tcPr>
          <w:p>
            <w:pPr>
              <w:pStyle w:val="TableContents"/>
              <w:bidi w:val="0"/>
              <w:spacing w:before="0" w:after="283"/>
              <w:jc w:val="left"/>
              <w:rPr/>
            </w:pPr>
            <w:r>
              <w:rPr/>
              <w:t>%</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Alexandre Zyngier</w:t>
            </w:r>
            <w:r>
              <w:rPr>
                <w:rFonts w:ascii="Times New Roman;Times;Serif" w:hAnsi="Times New Roman;Times;Serif"/>
                <w:position w:val="7"/>
                <w:sz w:val="16"/>
                <w:sz w:val="20"/>
              </w:rPr>
              <w:t>(1)(5)</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400,780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pPr>
            <w:r>
              <w:rPr/>
              <w:t>2.4</w:t>
            </w:r>
          </w:p>
        </w:tc>
        <w:tc>
          <w:tcPr>
            <w:tcW w:w="230" w:type="dxa"/>
            <w:tcBorders/>
            <w:shd w:fill="FFFFFF" w:val="clear"/>
            <w:vAlign w:val="center"/>
          </w:tcPr>
          <w:p>
            <w:pPr>
              <w:pStyle w:val="TableContents"/>
              <w:bidi w:val="0"/>
              <w:spacing w:before="0" w:after="283"/>
              <w:jc w:val="left"/>
              <w:rPr/>
            </w:pPr>
            <w:r>
              <w:rPr/>
              <w:t>%</w:t>
            </w:r>
          </w:p>
        </w:tc>
      </w:tr>
      <w:tr>
        <w:trPr/>
        <w:tc>
          <w:tcPr>
            <w:tcW w:w="6260" w:type="dxa"/>
            <w:tcBorders/>
            <w:shd w:fill="CCEEFF" w:val="clear"/>
            <w:vAlign w:val="center"/>
          </w:tcPr>
          <w:p>
            <w:pPr>
              <w:pStyle w:val="TableContents"/>
              <w:bidi w:val="0"/>
              <w:spacing w:before="0" w:after="283"/>
              <w:jc w:val="left"/>
              <w:rPr/>
            </w:pPr>
            <w:r>
              <w:rPr/>
              <w:t>William Gallagher</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 Current Directors and Executive Officers, as a group (5 individuals)</w:t>
            </w:r>
            <w:r>
              <w:rPr>
                <w:rFonts w:ascii="Times New Roman;Times;Serif" w:hAnsi="Times New Roman;Times;Serif"/>
                <w:b/>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double" w:sz="6" w:space="0" w:color="000000"/>
            </w:tcBorders>
            <w:shd w:fill="FFFFFF" w:val="clear"/>
            <w:tcMar>
              <w:bottom w:w="28" w:type="dxa"/>
            </w:tcMar>
            <w:vAlign w:val="center"/>
          </w:tcPr>
          <w:p>
            <w:pPr>
              <w:pStyle w:val="TableContents"/>
              <w:bidi w:val="0"/>
              <w:spacing w:before="0" w:after="283"/>
              <w:jc w:val="right"/>
              <w:rPr/>
            </w:pPr>
            <w:r>
              <w:rPr/>
              <w:t>2,112,530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6" w:type="dxa"/>
            <w:tcBorders>
              <w:bottom w:val="double" w:sz="6" w:space="0" w:color="000000"/>
            </w:tcBorders>
            <w:shd w:fill="FFFFFF" w:val="clear"/>
            <w:tcMar>
              <w:bottom w:w="28" w:type="dxa"/>
            </w:tcMar>
            <w:vAlign w:val="center"/>
          </w:tcPr>
          <w:p>
            <w:pPr>
              <w:pStyle w:val="TableContents"/>
              <w:bidi w:val="0"/>
              <w:spacing w:before="0" w:after="283"/>
              <w:jc w:val="right"/>
              <w:rPr/>
            </w:pPr>
            <w:r>
              <w:rPr/>
              <w:t>12.6</w:t>
            </w:r>
          </w:p>
        </w:tc>
        <w:tc>
          <w:tcPr>
            <w:tcW w:w="230" w:type="dxa"/>
            <w:tcBorders/>
            <w:shd w:fill="FFFFFF" w:val="clear"/>
            <w:vAlign w:val="center"/>
          </w:tcPr>
          <w:p>
            <w:pPr>
              <w:pStyle w:val="TableContents"/>
              <w:bidi w:val="0"/>
              <w:spacing w:before="0" w:after="283"/>
              <w:jc w:val="left"/>
              <w:rPr/>
            </w:pPr>
            <w:r>
              <w:rPr/>
              <w:t>%</w:t>
            </w:r>
          </w:p>
        </w:tc>
      </w:tr>
      <w:tr>
        <w:trPr/>
        <w:tc>
          <w:tcPr>
            <w:tcW w:w="6260" w:type="dxa"/>
            <w:tcBorders/>
            <w:shd w:fill="CCEEFF" w:val="clear"/>
            <w:vAlign w:val="center"/>
          </w:tcPr>
          <w:p>
            <w:pPr>
              <w:pStyle w:val="TableContents"/>
              <w:bidi w:val="0"/>
              <w:spacing w:before="0" w:after="283"/>
              <w:jc w:val="left"/>
              <w:rPr>
                <w:i/>
              </w:rPr>
            </w:pPr>
            <w:r>
              <w:rPr>
                <w:i/>
              </w:rPr>
              <w:t>Five Percent Holders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 Hai Precision Industry Co., Ltd.</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2,742,656</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pPr>
            <w:r>
              <w:rPr/>
              <w:t>15.4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48,352 and 33,893 shares of Class A common stock underlying RSUs that vest within 60 days. The settlement of these RSUs will be within ten (10) days following the earliest to occur of the following events: (a)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grant dates (which were May 13, 2024 and January 2, 2025, respectively), (b) a “change in control event” with respect to the Company, as determined in accordance with Treas. Reg. 1.409A-3(i)(5), applying the default provisions or (c) the director’s “separation from service” from the Company, as determined under Section 409A of the Internal Revenue Code.</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Burkett was appointed to the Board effective July 1, 2026.</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48,352 and 70,195 shares of Class A common stock underlying RSUs that vest within 60 days. The settlement of these RSUs will be within ten (10) days following the earliest to occur of the following events: (a)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grant dates (which were May 13, 2024 and January 2, 2025, respectively), (b) a “change in control event” with respect to the Company, as determined in accordance with Treas. Reg. 1.409A-3(i)(5), applying the default provisions or (c) the director’s “separation from service” from the Company, as determined under Section 409A of the Internal Revenue Code. Also includes 772,000 shares of Class A common stock owned by Esopus Creek Value Series Fund LP – Series A, and of which Esopus Creek Advisors LLC is the general partner. Mr. Sole is the sole managing member and principal of Esopus Creek Advisors LLC. Mr. Sole disclaims beneficial ownership of these securities except to the extent of his pecuniary interest therein.</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656,713 shares of Class A common stock owned by Foxhill Family Partnership, LP. Foxhill Capital Management, Inc. acts as the investment manager of Foxhill Family Partnership, L.P. Mr. Weiner and his spouse own the Foxhill Family Partnership, LP and Foxhill Capital Management, Inc. and, by virtue of such position, Mr. Weiner has voting and dispositive power over the securities held by the Foxhill Family Partnership, LP. Mr. Weiner disclaims beneficial ownership of these securities except to the extent of his pecuniary interest therein.</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318,535 shares of Class A common stock owned by HZ Investments LLC. Mr. Zyngier is the managing member of HZ Investments LLC and, by virtue of such position, has voting and dispositive power over the securities held by it. Mr. Zyngier disclaims beneficial ownership of these securities except to the extent of his pecuniary interest therein.</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193,408 and 171,874 shares of Class A common stock underlying RSUs that vest within 60 days. The settlement of these RSUs will be within ten (10) days following the earliest to occur of the following events: (a)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grant dates (which were May 13, 2024 and January 2, 2025, respectively), (b) a “change in control event” with respect to the Company, as determined in accordance with Treas. Reg. 1.409A-3(i)(5), applying the default provisions or (c) the director’s “separation from service” from the Company, as determined under Section 409A of the Internal Revenue Code.</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based on the Schedule 13D/A filed with the SEC on May 3, 2023 (after giving effect to the 1:15 reverse stock split of the outstanding Class A common stock, which became effective on May 24, 2023) and includes: (i) 861,151 shares of Class A common stock held by Foxconn Ventures Pte. Ltd. (“Foxconn Ventures”) and (ii) 483,210 shares of Class A common stock held by Foxconn (Far East) Limited (“Foxconn Far East”). The amount shown in the table also includes 1,398,295 shares of Class A common stock that would be issuable upon conversion of the 300,000 shares of Preferred Stock held by Foxconn Ventures (including accrued and unpaid dividends) if such shares were converted (and such dividends were paid in kind) as of September 15, 2026. The number of shares of Class A common stock into which the Preferred Stock is convertible at the time of such conversion is subject to the Ownership Limitation (as defined in the Certificate of Designation, Preferences and Rights of Series A Convertible Preferred Stock). Foxconn Far East owns 54.5% of the outstanding equity interests of Foxconn Ventures and controls its board of directors. Each of Foxconn Far East, Foxconn EV Technology, Inc. (“Foxconn EV”), Foxteq Holdings Inc. (“Foxteq Holdings”), Foxteq Integration Inc. (“Foxteq Integration”) and PCE Paragon Solutions Kft. (“PCE”) is a wholly owned subsidiary of Hon Hai Precision Industry Co., Ltd. (“Hon Hai”). In this capacity, Hon Hai exercises shared voting and investment power over the shares held directly or indirectly by Foxconn Ventures, Foxconn Far East, Foxteq Holdings, Foxteq Integration, PCE and Foxconn EV. The principal address of Hon Hai is No. 66, Zhongshan Road, Tucheng Industrial Zone, Tucheng District, New Taipei City, 23680, Taiwan.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1_002"/>
      <w:bookmarkEnd w:id="34"/>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26, 2025, Alexander Matina was appointed as the Company’s Chief Executive Officer, President, Treasurer and Secretary. Set forth below is certain information with respect to Mr. Matina as of September 15, 2026. For additional biographical information for Mr. Matina see “Proposal One - Election of Directors – Information Regarding the Board – Background and Qualifications.”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490" w:type="dxa"/>
        <w:jc w:val="left"/>
        <w:tblInd w:w="0" w:type="dxa"/>
        <w:tblLayout w:type="fixed"/>
        <w:tblCellMar>
          <w:top w:w="0" w:type="dxa"/>
          <w:left w:w="0" w:type="dxa"/>
          <w:bottom w:w="28" w:type="dxa"/>
          <w:right w:w="0" w:type="dxa"/>
        </w:tblCellMar>
      </w:tblPr>
      <w:tblGrid>
        <w:gridCol w:w="1730"/>
        <w:gridCol w:w="60"/>
        <w:gridCol w:w="350"/>
        <w:gridCol w:w="60"/>
        <w:gridCol w:w="6290"/>
      </w:tblGrid>
      <w:tr>
        <w:trPr/>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2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Secretary, and Treasurer; Class III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1_003"/>
      <w:bookmarkEnd w:id="35"/>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provides information regarding the compensation arrangements for our named executive officers, or “NEOs”, who were the following for 2025:</w:t>
      </w:r>
    </w:p>
    <w:p>
      <w:pPr>
        <w:pStyle w:val="TextBody"/>
        <w:bidi w:val="0"/>
        <w:spacing w:before="0" w:after="0"/>
        <w:ind w:left="0" w:right="0" w:firstLine="360"/>
        <w:jc w:val="left"/>
        <w:rPr>
          <w:caps w:val="false"/>
          <w:smallCaps w:val="false"/>
        </w:rPr>
      </w:pPr>
      <w:r>
        <w:rPr>
          <w:caps w:val="false"/>
          <w:smallCaps w:val="false"/>
        </w:rPr>
        <w:t> </w:t>
      </w:r>
    </w:p>
    <w:tbl>
      <w:tblPr>
        <w:tblW w:w="7030" w:type="dxa"/>
        <w:jc w:val="left"/>
        <w:tblInd w:w="0" w:type="dxa"/>
        <w:tblLayout w:type="fixed"/>
        <w:tblCellMar>
          <w:top w:w="0" w:type="dxa"/>
          <w:left w:w="0" w:type="dxa"/>
          <w:bottom w:w="28" w:type="dxa"/>
          <w:right w:w="0" w:type="dxa"/>
        </w:tblCellMar>
      </w:tblPr>
      <w:tblGrid>
        <w:gridCol w:w="1535"/>
        <w:gridCol w:w="60"/>
        <w:gridCol w:w="5435"/>
      </w:tblGrid>
      <w:tr>
        <w:trPr/>
        <w:tc>
          <w:tcPr>
            <w:tcW w:w="15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Matina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Secretary, and Treasurer</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Chief Executive Officer, President, Secretary,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Gallagher served as Chief Executive Officer, President, Secretary and Treasurer from March 14, 2024 until September 26,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concerning the total compensation of our NEOs rendered in all capacities for each of the last two fiscal years.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66"/>
        <w:gridCol w:w="60"/>
        <w:gridCol w:w="530"/>
        <w:gridCol w:w="60"/>
        <w:gridCol w:w="140"/>
        <w:gridCol w:w="800"/>
        <w:gridCol w:w="60"/>
        <w:gridCol w:w="60"/>
        <w:gridCol w:w="257"/>
        <w:gridCol w:w="408"/>
        <w:gridCol w:w="60"/>
        <w:gridCol w:w="60"/>
        <w:gridCol w:w="140"/>
        <w:gridCol w:w="680"/>
        <w:gridCol w:w="276"/>
        <w:gridCol w:w="60"/>
        <w:gridCol w:w="183"/>
        <w:gridCol w:w="1052"/>
        <w:gridCol w:w="276"/>
        <w:gridCol w:w="60"/>
        <w:gridCol w:w="140"/>
        <w:gridCol w:w="800"/>
        <w:gridCol w:w="77"/>
      </w:tblGrid>
      <w:tr>
        <w:trPr/>
        <w:tc>
          <w:tcPr>
            <w:tcW w:w="396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7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27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3966" w:type="dxa"/>
            <w:tcBorders/>
            <w:shd w:fill="CCEEFF" w:val="clear"/>
            <w:tcMar>
              <w:bottom w:w="0" w:type="dxa"/>
            </w:tcMar>
            <w:vAlign w:val="center"/>
          </w:tcPr>
          <w:p>
            <w:pPr>
              <w:pStyle w:val="TableContents"/>
              <w:bidi w:val="0"/>
              <w:spacing w:before="0" w:after="283"/>
              <w:jc w:val="left"/>
              <w:rPr/>
            </w:pPr>
            <w:r>
              <w:rPr/>
              <w:t>Alexander Matina</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109,514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84,055</w:t>
            </w:r>
          </w:p>
        </w:tc>
        <w:tc>
          <w:tcPr>
            <w:tcW w:w="276"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117,667</w:t>
            </w:r>
          </w:p>
        </w:tc>
        <w:tc>
          <w:tcPr>
            <w:tcW w:w="276" w:type="dxa"/>
            <w:tcBorders/>
            <w:shd w:fill="CCEEFF" w:val="clear"/>
            <w:tcMar>
              <w:bottom w:w="0" w:type="dxa"/>
            </w:tcMar>
            <w:vAlign w:val="center"/>
          </w:tcPr>
          <w:p>
            <w:pPr>
              <w:pStyle w:val="TableContents"/>
              <w:bidi w:val="0"/>
              <w:spacing w:before="0" w:after="283"/>
              <w:jc w:val="left"/>
              <w:rPr/>
            </w:pPr>
            <w:r>
              <w:rPr/>
              <w:t> </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311,236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966" w:type="dxa"/>
            <w:tcBorders/>
            <w:shd w:fill="FFFFFF" w:val="clear"/>
            <w:tcMar>
              <w:bottom w:w="0" w:type="dxa"/>
            </w:tcMar>
            <w:vAlign w:val="center"/>
          </w:tcPr>
          <w:p>
            <w:pPr>
              <w:pStyle w:val="TableContents"/>
              <w:bidi w:val="0"/>
              <w:spacing w:before="0" w:after="283"/>
              <w:jc w:val="left"/>
              <w:rPr>
                <w:i/>
              </w:rPr>
            </w:pPr>
            <w:r>
              <w:rPr>
                <w:i/>
              </w:rPr>
              <w:t>Chief Executive Officer, President, Secretary, and Treasurer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40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966" w:type="dxa"/>
            <w:tcBorders/>
            <w:shd w:fill="CCEEFF" w:val="clear"/>
            <w:tcMar>
              <w:bottom w:w="0" w:type="dxa"/>
            </w:tcMar>
            <w:vAlign w:val="center"/>
          </w:tcPr>
          <w:p>
            <w:pPr>
              <w:pStyle w:val="TableContents"/>
              <w:bidi w:val="0"/>
              <w:spacing w:before="0" w:after="283"/>
              <w:jc w:val="left"/>
              <w:rPr/>
            </w:pPr>
            <w:r>
              <w:rPr/>
              <w:t>William Gallagher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261,096</w:t>
            </w:r>
          </w:p>
        </w:tc>
        <w:tc>
          <w:tcPr>
            <w:tcW w:w="276" w:type="dxa"/>
            <w:tcBorders/>
            <w:shd w:fill="CCEEFF" w:val="clear"/>
            <w:tcMar>
              <w:bottom w:w="0" w:type="dxa"/>
            </w:tcMar>
            <w:vAlign w:val="center"/>
          </w:tcPr>
          <w:p>
            <w:pPr>
              <w:pStyle w:val="TableContents"/>
              <w:bidi w:val="0"/>
              <w:spacing w:before="0" w:after="283"/>
              <w:jc w:val="left"/>
              <w:rPr/>
            </w:pPr>
            <w:r>
              <w:rPr/>
              <w:t> </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261,096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966" w:type="dxa"/>
            <w:tcBorders/>
            <w:shd w:fill="FFFFFF" w:val="clear"/>
            <w:tcMar>
              <w:bottom w:w="0" w:type="dxa"/>
            </w:tcMar>
            <w:vAlign w:val="center"/>
          </w:tcPr>
          <w:p>
            <w:pPr>
              <w:pStyle w:val="TableContents"/>
              <w:bidi w:val="0"/>
              <w:spacing w:before="0" w:after="283"/>
              <w:jc w:val="left"/>
              <w:rPr>
                <w:i/>
              </w:rPr>
            </w:pPr>
            <w:r>
              <w:rPr>
                <w:i/>
              </w:rPr>
              <w:t>Former Chief Executive Officer, President, Secretary, and Treasurer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4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564,167</w:t>
            </w:r>
          </w:p>
        </w:tc>
        <w:tc>
          <w:tcPr>
            <w:tcW w:w="276" w:type="dxa"/>
            <w:tcBorders/>
            <w:shd w:fill="FFFFFF" w:val="clear"/>
            <w:tcMar>
              <w:bottom w:w="0" w:type="dxa"/>
            </w:tcMar>
            <w:vAlign w:val="center"/>
          </w:tcPr>
          <w:p>
            <w:pPr>
              <w:pStyle w:val="TableContents"/>
              <w:bidi w:val="0"/>
              <w:spacing w:before="0" w:after="283"/>
              <w:jc w:val="left"/>
              <w:rPr/>
            </w:pPr>
            <w:r>
              <w:rPr/>
              <w:t> </w:t>
            </w: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564,167</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26, 2025, Alexander Matina was appointed as the Company’s Chief Executive Officer, President, Treasurer, and Secretary.</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2025, Mr. Matina was granted an award of 67,786 restricted stock units as part of his annual non-employee director compensation with a fair market value of $84,055.</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Mr. Matina received an aggregate of $105,000 in cash for his service as a non-employee director prior to his appointment as Chief Executive Officer. As part of his employment agreement, Mr. Matina also received a health benefits stipend of $4,000 a month, totaling $12,667 in 2025.</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billed by M3 Advisory Partners, LP (“M3 Partners”) to the Company for Mr. Gallagher’s services in 2025.</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billed by M3 Partners to the Company for Mr. Gallagher’s services in 2024 and included $100,111 for Mr. Gallagher’s services during the bankruptcy in accordance with the terms of M3 Partners’ engagement by the Equity Committee. See “Engagement Agreements with M3 Partners – Arrangement with William Gallagher” below for more information.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provides additional information regarding the compensation arrangements of our named executive officers for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Chief Executive Officer – Alexander C. Matina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26, 2025, the Board appointed Alexander C. Matina as Chief Executive Officer, President, Treasurer, and Secretary of the Company. Mr. Matina continues to serve on the Board following his appointment and will also serve as the “principal financial officer” of the Company for Securities Exchange Commission purposes. Pursuant to the employment agreement entered into between the Company and Mr. Matina effective September 26, 2025, Mr. Matina will receive (i) an annual base salary of $415,000, (ii) an annual grant of RSUs with a fair market value of $50,000 so long as he remains Chief Executive Officer, (iii) an annual grant of RSUs with a fair market value of $100,000, for so long as he remains a member of the Board, and (iv) reimbursement for outside healthcare costs in the amount of $4,000 per month. Mr. Matina is also eligible to receive an annual bonus in the sole discretion of the Board. Mr. Matina will not receive any compensation in connection with his service as a member of the Board in excess of the compensation provided herein. On August 26, 2026, the Compensation Committee approved the following changes to the compensation of Alexander Matina, the Company’s Chief Executive Officer, each effective September 1, 2026: (i) Mr. Matina’s annual base salary was increased to $451,750; (ii) the annual grant of restricted stock units to be made to Mr. Matina on or about the first trading day of 2027 and for each calendar year thereafter was increased to $63,250 in fair market value (such grant will otherwise have the same terms as previously in effect, including vesting in two substantially equal installments on the first and second anniversaries of the grant date, subject to acceleration upon a change in control and continued employment through each vesting date), including a pro-rated portion for the balance of 2026 (with vesting to commence on the first and second anniversaries of September 1, 2026); and (iii) Mr. Matina will receive a one-time cash bonus of $120,000, payable on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Engagement Agreement with M3 Partners – Arrangement with William Gallagher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bankruptcy, the Equity Committee engaged M3 Partners to provide certain services, including consulting and advisory services provided by William Gallagher. Upon emergence from bankruptcy, the Company engaged M3 Partners to provide executive management and support services pursuant to the terms of the M3 Engagement Letter, effective as of March 15, 2024. Under the terms of the M3 Engagement Letter, the Company agreed to retain M3 to provide Mr. Gallagher to serve as Chief Executive Officer, President, Treasurer, and Secretary of the Company, a role he served in until he was succeeded by Alexander Matina effective September 26, 2025. Mr. Gallagher has been, and will remain, employed by M3 Partners and provides his services pursuant to the M3 Engagement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M3 Engagement Letter, M3 Partners is entitled to non-refundable professional fees based on the actual hours incurred by M3 personnel on matters pertinent to the engagement. Such fees are based upon the hourly rates as set forth in the M3 Engagement Letter, depending on the title of the applicable M3 Partners personnel. Under the terms of the M3 Engagement Letter, the hourly rate attributable to Mr. Gallagher as a Managing Director of M3 Partners was $1,075-$1,205 per hour. For 2024, the hourly rate attributable to Mr. Gallagher was $1,205 per hour. M3 Partners furnishes the Company with monthly invoices in respect of unbilled service fees accrued, and the Company is required to pay such amounts within five days after the date of service of the relevant invoice.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engagement of M3 Partners by the Company may be terminated by either party at any time upon ten business days’ written notice. Following any such termination, neither party will have further liability to the other, except with respect to fees and expenses earned and incurred through the date of termination and any provisions of the M3 Engagement Letter which are expressly stated to survive its termination or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Alexander Matina, the Company entered into an amended and restated engagement letter (the “Amended M3 Engagement Letter”) with M3 Partners to reflect that William Gallagher would no longer be serving in the role of Chief Executive Officer of the Company. The Amended M3 Engagement Letter provides that M3 Partners will continue to provide support to the Company (including, without limitation, a litigation trustee) in evaluating and managing its operations, assets and liabilities, and such other services as M3 Partners and the Company otherwise agree in 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“Certain Relationships and Related Party Transactions – Related Party Transactions – Engagement Letter with M3 Partners” above for more information.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Year End</w:t>
      </w:r>
    </w:p>
    <w:p>
      <w:pPr>
        <w:pStyle w:val="TextBody"/>
        <w:bidi w:val="0"/>
        <w:spacing w:before="0" w:after="0"/>
        <w:ind w:left="0" w:right="0" w:hanging="0"/>
        <w:jc w:val="both"/>
        <w:rPr>
          <w:caps w:val="false"/>
          <w:smallCaps w:val="false"/>
        </w:rPr>
      </w:pPr>
      <w:r>
        <w:rPr>
          <w:caps w:val="false"/>
          <w:smallCaps w:val="false"/>
        </w:rPr>
        <w:t> </w:t>
      </w:r>
    </w:p>
    <w:tbl>
      <w:tblPr>
        <w:tblW w:w="7358" w:type="dxa"/>
        <w:jc w:val="left"/>
        <w:tblInd w:w="0" w:type="dxa"/>
        <w:tblLayout w:type="fixed"/>
        <w:tblCellMar>
          <w:top w:w="0" w:type="dxa"/>
          <w:left w:w="0" w:type="dxa"/>
          <w:bottom w:w="28" w:type="dxa"/>
          <w:right w:w="0" w:type="dxa"/>
        </w:tblCellMar>
      </w:tblPr>
      <w:tblGrid>
        <w:gridCol w:w="2585"/>
        <w:gridCol w:w="60"/>
        <w:gridCol w:w="143"/>
        <w:gridCol w:w="1631"/>
        <w:gridCol w:w="305"/>
        <w:gridCol w:w="60"/>
        <w:gridCol w:w="335"/>
        <w:gridCol w:w="1919"/>
        <w:gridCol w:w="320"/>
      </w:tblGrid>
      <w:tr>
        <w:trPr/>
        <w:tc>
          <w:tcPr>
            <w:tcW w:w="2585" w:type="dxa"/>
            <w:tcBorders>
              <w:bottom w:val="single" w:sz="8" w:space="0" w:color="000000"/>
            </w:tcBorders>
            <w:vAlign w:val="center"/>
          </w:tcPr>
          <w:p>
            <w:pPr>
              <w:pStyle w:val="TableContents"/>
              <w:bidi w:val="0"/>
              <w:spacing w:before="0" w:after="283"/>
              <w:jc w:val="left"/>
              <w:rPr>
                <w:b/>
              </w:rPr>
            </w:pPr>
            <w:r>
              <w:rPr>
                <w:b/>
              </w:rPr>
              <w:t>Named Executive Officer</w:t>
            </w:r>
          </w:p>
        </w:tc>
        <w:tc>
          <w:tcPr>
            <w:tcW w:w="60" w:type="dxa"/>
            <w:tcBorders/>
            <w:tcMar>
              <w:bottom w:w="0" w:type="dxa"/>
            </w:tcMar>
            <w:vAlign w:val="center"/>
          </w:tcPr>
          <w:p>
            <w:pPr>
              <w:pStyle w:val="TableContents"/>
              <w:bidi w:val="0"/>
              <w:spacing w:before="0" w:after="283"/>
              <w:jc w:val="left"/>
              <w:rPr/>
            </w:pPr>
            <w:r>
              <w:rPr/>
              <w:t> </w:t>
            </w:r>
          </w:p>
        </w:tc>
        <w:tc>
          <w:tcPr>
            <w:tcW w:w="17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 of Stock that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5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Units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 that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20"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Alexander Matina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631" w:type="dxa"/>
            <w:tcBorders/>
            <w:shd w:fill="CCEEFF" w:val="clear"/>
            <w:tcMar>
              <w:bottom w:w="0" w:type="dxa"/>
            </w:tcMar>
            <w:vAlign w:val="center"/>
          </w:tcPr>
          <w:p>
            <w:pPr>
              <w:pStyle w:val="TableContents"/>
              <w:bidi w:val="0"/>
              <w:spacing w:before="0" w:after="283"/>
              <w:jc w:val="right"/>
              <w:rPr/>
            </w:pPr>
            <w:r>
              <w:rPr/>
              <w:t>89,761</w:t>
            </w:r>
          </w:p>
        </w:tc>
        <w:tc>
          <w:tcPr>
            <w:tcW w:w="305" w:type="dxa"/>
            <w:tcBorders/>
            <w:shd w:fill="CCEEFF" w:val="clear"/>
            <w:tcMar>
              <w:bottom w:w="0" w:type="dxa"/>
            </w:tcMar>
            <w:vAlign w:val="center"/>
          </w:tcPr>
          <w:p>
            <w:pPr>
              <w:pStyle w:val="TableContents"/>
              <w:bidi w:val="0"/>
              <w:spacing w:before="0" w:after="283"/>
              <w:jc w:val="left"/>
              <w:rPr/>
            </w:pPr>
            <w:r>
              <w:rPr/>
              <w:t> </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pPr>
            <w:r>
              <w:rPr/>
              <w:t>$</w:t>
            </w:r>
          </w:p>
        </w:tc>
        <w:tc>
          <w:tcPr>
            <w:tcW w:w="1919" w:type="dxa"/>
            <w:tcBorders/>
            <w:shd w:fill="CCEEFF" w:val="clear"/>
            <w:tcMar>
              <w:bottom w:w="0" w:type="dxa"/>
            </w:tcMar>
            <w:vAlign w:val="center"/>
          </w:tcPr>
          <w:p>
            <w:pPr>
              <w:pStyle w:val="TableContents"/>
              <w:bidi w:val="0"/>
              <w:spacing w:before="0" w:after="283"/>
              <w:jc w:val="right"/>
              <w:rPr/>
            </w:pPr>
            <w:r>
              <w:rPr/>
              <w:t>130,153</w:t>
            </w:r>
          </w:p>
        </w:tc>
        <w:tc>
          <w:tcPr>
            <w:tcW w:w="320"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631"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1919" w:type="dxa"/>
            <w:tcBorders/>
            <w:shd w:fill="FFFFFF" w:val="clear"/>
            <w:tcMar>
              <w:bottom w:w="0" w:type="dxa"/>
            </w:tcMar>
            <w:vAlign w:val="center"/>
          </w:tcPr>
          <w:p>
            <w:pPr>
              <w:pStyle w:val="TableContents"/>
              <w:bidi w:val="0"/>
              <w:spacing w:before="0" w:after="283"/>
              <w:jc w:val="righ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William Gallagher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631" w:type="dxa"/>
            <w:tcBorders/>
            <w:shd w:fill="CCEEFF" w:val="clear"/>
            <w:tcMar>
              <w:bottom w:w="0" w:type="dxa"/>
            </w:tcMar>
            <w:vAlign w:val="center"/>
          </w:tcPr>
          <w:p>
            <w:pPr>
              <w:pStyle w:val="TableContents"/>
              <w:bidi w:val="0"/>
              <w:spacing w:before="0" w:after="283"/>
              <w:jc w:val="right"/>
              <w:rPr/>
            </w:pPr>
            <w:r>
              <w:rPr/>
              <w:t>-</w:t>
            </w:r>
          </w:p>
        </w:tc>
        <w:tc>
          <w:tcPr>
            <w:tcW w:w="3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pPr>
            <w:r>
              <w:rPr/>
              <w:t> </w:t>
            </w:r>
          </w:p>
        </w:tc>
        <w:tc>
          <w:tcPr>
            <w:tcW w:w="1919" w:type="dxa"/>
            <w:tcBorders/>
            <w:shd w:fill="CCEEFF" w:val="clear"/>
            <w:tcMar>
              <w:bottom w:w="0" w:type="dxa"/>
            </w:tcMar>
            <w:vAlign w:val="center"/>
          </w:tcPr>
          <w:p>
            <w:pPr>
              <w:pStyle w:val="TableContents"/>
              <w:bidi w:val="0"/>
              <w:spacing w:before="0" w:after="283"/>
              <w:jc w:val="right"/>
              <w:rPr/>
            </w:pPr>
            <w:r>
              <w:rPr/>
              <w:t>-</w:t>
            </w:r>
          </w:p>
        </w:tc>
        <w:tc>
          <w:tcPr>
            <w:tcW w:w="32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 pursuant to RSU agreements dated as of May 13, 2024 and January 2, 2025. The vesting dates of the outstanding RSU awards granted to Mr. Matina are as follows, subject to the terms of the applicable RSU agreement: 4,395 underlying awards vest on each January 30, 2026, April 30, 2026, July 30, 2026, October 30, 2026 and January 30, 2027, respectively, and 33,893 underlying awards vest on each January 2, 2026 and January 2, 2027, respectively.</w:t>
            </w:r>
          </w:p>
        </w:tc>
      </w:tr>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pPr>
            <w:r>
              <w:rPr/>
              <w:t> </w:t>
            </w:r>
          </w:p>
        </w:tc>
        <w:tc>
          <w:tcPr>
            <w:tcW w:w="991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pPr>
            <w:r>
              <w:rPr/>
              <w:t>(2)</w:t>
            </w:r>
          </w:p>
        </w:tc>
        <w:tc>
          <w:tcPr>
            <w:tcW w:w="9912" w:type="dxa"/>
            <w:tcBorders/>
            <w:vAlign w:val="center"/>
          </w:tcPr>
          <w:p>
            <w:pPr>
              <w:pStyle w:val="TableContents"/>
              <w:bidi w:val="0"/>
              <w:spacing w:before="0" w:after="283"/>
              <w:jc w:val="both"/>
              <w:rPr/>
            </w:pPr>
            <w:r>
              <w:rPr/>
              <w:t>Calculated based on $1.45 per share, which was the closing market price per share of our common stock as reported on the OTC Pink at December 31, 2025.</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compensation paid to the persons serving as our principal executive officer (“PEO”) as set forth in our Summary Compensation Table, compensation actually paid to the persons serving as our PEO, average compensation paid to our Non-PEO NEOs as set forth in our Summary Compensation Table, and average compensation actually paid to our Non-PEO NEOs, each as calculated in accordance with SEC rules, and certain Company performance measures for the periods indicated:</w:t>
      </w:r>
    </w:p>
    <w:p>
      <w:pPr>
        <w:pStyle w:val="TextBody"/>
        <w:bidi w:val="0"/>
        <w:spacing w:before="0" w:after="0"/>
        <w:ind w:left="0" w:right="0" w:firstLine="360"/>
        <w:jc w:val="left"/>
        <w:rPr>
          <w:caps w:val="false"/>
          <w:smallCaps w:val="false"/>
        </w:rPr>
      </w:pPr>
      <w:r>
        <w:rPr>
          <w:caps w:val="false"/>
          <w:smallCaps w:val="false"/>
        </w:rPr>
        <w:t> </w:t>
      </w:r>
    </w:p>
    <w:p>
      <w:pPr>
        <w:pStyle w:val="Normal"/>
        <w:bidi w:val="0"/>
        <w:spacing w:before="0" w:after="0"/>
        <w:ind w:left="0" w:right="0" w:firstLine="360"/>
        <w:jc w:val="left"/>
        <w:rPr>
          <w:sz w:val="4"/>
          <w:szCs w:val="4"/>
        </w:rPr>
      </w:pPr>
      <w:r>
        <w:rPr>
          <w:sz w:val="4"/>
          <w:szCs w:val="4"/>
        </w:rPr>
      </w:r>
      <w:bookmarkStart w:id="36" w:name="xdx_882_eecd--PvpTableTextBlock_zu26zjZC"/>
      <w:bookmarkStart w:id="37" w:name="xdx_882_eecd--PvpTableTextBlock_zu26zjZC"/>
      <w:bookmarkEnd w:id="37"/>
    </w:p>
    <w:tbl>
      <w:tblPr>
        <w:tblW w:w="12555" w:type="dxa"/>
        <w:jc w:val="left"/>
        <w:tblInd w:w="0" w:type="dxa"/>
        <w:tblLayout w:type="fixed"/>
        <w:tblCellMar>
          <w:top w:w="0" w:type="dxa"/>
          <w:left w:w="0" w:type="dxa"/>
          <w:bottom w:w="28" w:type="dxa"/>
          <w:right w:w="0" w:type="dxa"/>
        </w:tblCellMar>
      </w:tblPr>
      <w:tblGrid>
        <w:gridCol w:w="455"/>
        <w:gridCol w:w="60"/>
        <w:gridCol w:w="137"/>
        <w:gridCol w:w="768"/>
        <w:gridCol w:w="60"/>
        <w:gridCol w:w="60"/>
        <w:gridCol w:w="144"/>
        <w:gridCol w:w="806"/>
        <w:gridCol w:w="60"/>
        <w:gridCol w:w="60"/>
        <w:gridCol w:w="126"/>
        <w:gridCol w:w="854"/>
        <w:gridCol w:w="60"/>
        <w:gridCol w:w="60"/>
        <w:gridCol w:w="137"/>
        <w:gridCol w:w="768"/>
        <w:gridCol w:w="60"/>
        <w:gridCol w:w="60"/>
        <w:gridCol w:w="144"/>
        <w:gridCol w:w="806"/>
        <w:gridCol w:w="60"/>
        <w:gridCol w:w="60"/>
        <w:gridCol w:w="125"/>
        <w:gridCol w:w="905"/>
        <w:gridCol w:w="80"/>
        <w:gridCol w:w="60"/>
        <w:gridCol w:w="187"/>
        <w:gridCol w:w="1048"/>
        <w:gridCol w:w="60"/>
        <w:gridCol w:w="60"/>
        <w:gridCol w:w="175"/>
        <w:gridCol w:w="1060"/>
        <w:gridCol w:w="80"/>
        <w:gridCol w:w="60"/>
        <w:gridCol w:w="295"/>
        <w:gridCol w:w="775"/>
        <w:gridCol w:w="60"/>
        <w:gridCol w:w="60"/>
        <w:gridCol w:w="125"/>
        <w:gridCol w:w="1460"/>
        <w:gridCol w:w="75"/>
      </w:tblGrid>
      <w:tr>
        <w:trPr/>
        <w:tc>
          <w:tcPr>
            <w:tcW w:w="4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38" w:name="xdx_485_eecd--PeoTotalCompAmt_hecd--Indi"/>
            <w:bookmarkEnd w:id="38"/>
          </w:p>
        </w:tc>
        <w:tc>
          <w:tcPr>
            <w:tcW w:w="90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Matina</w:t>
            </w:r>
            <w:bookmarkStart w:id="39" w:name="xdx_F59_z5pvjwsjfes7"/>
            <w:bookmarkEnd w:id="39"/>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40" w:name="xdx_480_eecd--PeoTotalCompAmt_hecd--Indi"/>
            <w:bookmarkEnd w:id="40"/>
          </w:p>
        </w:tc>
        <w:tc>
          <w:tcPr>
            <w:tcW w:w="95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Gallagher</w:t>
            </w:r>
            <w:bookmarkStart w:id="41" w:name="xdx_F58_zhfaHjTFAt5a"/>
            <w:bookmarkEnd w:id="41"/>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42" w:name="xdx_486_eecd--PeoTotalCompAmt_hecd--Indi"/>
            <w:bookmarkEnd w:id="42"/>
          </w:p>
        </w:tc>
        <w:tc>
          <w:tcPr>
            <w:tcW w:w="98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Hightower</w:t>
            </w:r>
            <w:bookmarkStart w:id="43" w:name="xdx_F56_z86HqyvPpyn4"/>
            <w:bookmarkEnd w:id="43"/>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44" w:name="xdx_486_eecd--PeoActuallyPaidCompAmt_hec"/>
            <w:bookmarkEnd w:id="44"/>
          </w:p>
        </w:tc>
        <w:tc>
          <w:tcPr>
            <w:tcW w:w="90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Matina</w:t>
            </w:r>
            <w:bookmarkStart w:id="45" w:name="xdx_F55_zLzCG0tUhbff"/>
            <w:bookmarkEnd w:id="45"/>
            <w:r>
              <w:rPr>
                <w:rFonts w:ascii="Times New Roman;Times;Serif" w:hAnsi="Times New Roman;Times;Serif"/>
                <w:b/>
                <w:i w:val="false"/>
                <w:caps w:val="false"/>
                <w:smallCaps w:val="false"/>
                <w:sz w:val="20"/>
              </w:rPr>
              <w:t>(2)(3)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46" w:name="xdx_48C_eecd--PeoActuallyPaidCompAmt_hec"/>
            <w:bookmarkEnd w:id="46"/>
          </w:p>
        </w:tc>
        <w:tc>
          <w:tcPr>
            <w:tcW w:w="95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Gallagher</w:t>
            </w:r>
            <w:bookmarkStart w:id="47" w:name="xdx_F5E_z1RXPK7j534j"/>
            <w:bookmarkEnd w:id="47"/>
            <w:r>
              <w:rPr>
                <w:rFonts w:ascii="Times New Roman;Times;Serif" w:hAnsi="Times New Roman;Times;Serif"/>
                <w:b/>
                <w:i w:val="false"/>
                <w:caps w:val="false"/>
                <w:smallCaps w:val="false"/>
                <w:sz w:val="20"/>
              </w:rPr>
              <w:t>(2)(3)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48" w:name="xdx_487_eecd--PeoActuallyPaidCompAmt_hec"/>
            <w:bookmarkEnd w:id="48"/>
          </w:p>
        </w:tc>
        <w:tc>
          <w:tcPr>
            <w:tcW w:w="103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Hightower</w:t>
            </w:r>
            <w:bookmarkStart w:id="49" w:name="xdx_F5C_zSXXyB60z5i4"/>
            <w:bookmarkEnd w:id="49"/>
            <w:r>
              <w:rPr>
                <w:rFonts w:ascii="Times New Roman;Times;Serif" w:hAnsi="Times New Roman;Times;Serif"/>
                <w:b/>
                <w:i w:val="false"/>
                <w:caps w:val="false"/>
                <w:smallCaps w:val="false"/>
                <w:sz w:val="20"/>
              </w:rPr>
              <w:t>(2)(3)</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50" w:name="xdx_487_eecd--NonPeoNeoAvgTotalCompAmt_z"/>
            <w:bookmarkEnd w:id="50"/>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Non-PEO</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w:t>
            </w:r>
            <w:bookmarkStart w:id="51" w:name="xdx_F5C_zwl7VQe0XJw5"/>
            <w:bookmarkEnd w:id="51"/>
            <w:r>
              <w:rPr>
                <w:rFonts w:ascii="Times New Roman;Times;Serif" w:hAnsi="Times New Roman;Times;Serif"/>
                <w:b/>
                <w:i w:val="false"/>
                <w:caps w:val="false"/>
                <w:smallCaps w:val="false"/>
                <w:sz w:val="20"/>
              </w:rPr>
              <w:t>(3)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52" w:name="xdx_48D_eecd--NonPeoNeoAvgCompActuallyPa"/>
            <w:bookmarkEnd w:id="52"/>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Non-PEO</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w:t>
            </w:r>
            <w:bookmarkStart w:id="53" w:name="xdx_F50_z4HbWzavfxB6"/>
            <w:bookmarkEnd w:id="53"/>
            <w:r>
              <w:rPr>
                <w:rFonts w:ascii="Times New Roman;Times;Serif" w:hAnsi="Times New Roman;Times;Serif"/>
                <w:b/>
                <w:i w:val="false"/>
                <w:caps w:val="false"/>
                <w:smallCaps w:val="false"/>
                <w:sz w:val="20"/>
              </w:rPr>
              <w:t xml:space="preserve">(2)(3) </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w:t>
            </w:r>
            <w:bookmarkStart w:id="54" w:name="xdx_F55_zQ8MjTrbVVdg"/>
            <w:bookmarkEnd w:id="54"/>
            <w:r>
              <w:rPr>
                <w:rFonts w:ascii="Times New Roman;Times;Serif" w:hAnsi="Times New Roman;Times;Serif"/>
                <w:b/>
                <w:i w:val="false"/>
                <w:caps w:val="false"/>
                <w:smallCaps w:val="false"/>
                <w:sz w:val="20"/>
              </w:rPr>
              <w:t xml:space="preserve">(4)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75" w:type="dxa"/>
            <w:gridSpan w:val="10"/>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for PEO</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25" w:type="dxa"/>
            <w:gridSpan w:val="10"/>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 to</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w:t>
            </w:r>
            <w:r>
              <w:rPr>
                <w:rFonts w:ascii="Times New Roman;Times;Serif" w:hAnsi="Times New Roman;Times;Serif"/>
                <w:b/>
                <w:i w:val="false"/>
                <w:caps w:val="false"/>
                <w:smallCaps w:val="false"/>
                <w:position w:val="7"/>
                <w:sz w:val="16"/>
                <w:sz w:val="20"/>
              </w:rPr>
              <w:t>(2)(3)</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Fixed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Based 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5"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Matina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Gallagher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Hightower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Matina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Gallagher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Hightower</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Non-PEO</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Non-PEO</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w:t>
            </w:r>
            <w:r>
              <w:rPr>
                <w:rFonts w:ascii="Times New Roman;Times;Serif" w:hAnsi="Times New Roman;Times;Serif"/>
                <w:b/>
                <w:i w:val="false"/>
                <w:caps w:val="false"/>
                <w:smallCaps w:val="false"/>
                <w:position w:val="7"/>
                <w:sz w:val="16"/>
                <w:sz w:val="20"/>
              </w:rPr>
              <w:t>(2)(3)</w:t>
            </w:r>
            <w:r>
              <w:rPr>
                <w:rFonts w:ascii="Times New Roman;Times;Serif" w:hAnsi="Times New Roman;Times;Serif"/>
                <w:b/>
                <w:i w:val="false"/>
                <w:caps w:val="false"/>
                <w:smallCaps w:val="false"/>
                <w:sz w:val="20"/>
              </w:rPr>
              <w:t xml:space="preserve"> </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w:t>
            </w:r>
            <w:r>
              <w:rPr>
                <w:rFonts w:ascii="Times New Roman;Times;Serif" w:hAnsi="Times New Roman;Times;Serif"/>
                <w:b/>
                <w:i w:val="false"/>
                <w:caps w:val="false"/>
                <w:smallCaps w:val="false"/>
                <w:position w:val="7"/>
                <w:sz w:val="16"/>
                <w:sz w:val="20"/>
              </w:rPr>
              <w:t>(4)</w:t>
            </w:r>
            <w:r>
              <w:rPr>
                <w:rFonts w:ascii="Times New Roman;Times;Serif" w:hAnsi="Times New Roman;Times;Serif"/>
                <w:b/>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55" w:name="xdx_416_20250101__20251231_z3ReOJTLfFgl"/>
            <w:bookmarkEnd w:id="55"/>
          </w:p>
        </w:tc>
      </w:tr>
      <w:tr>
        <w:trPr/>
        <w:tc>
          <w:tcPr>
            <w:tcW w:w="4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325,471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 w:name="xdx_98F_eecd--TotalShareholderRtnAmt_pp2"/>
            <w:bookmarkEnd w:id="56"/>
          </w:p>
        </w:tc>
        <w:tc>
          <w:tcPr>
            <w:tcW w:w="7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bookmarkStart w:id="57" w:name="xdx_907_eus-gaap--NetIncomeLoss_pn3n6_c2"/>
            <w:bookmarkEnd w:id="57"/>
            <w:r>
              <w:rPr>
                <w:rFonts w:ascii="Times New Roman;Times;Serif" w:hAnsi="Times New Roman;Times;Serif"/>
                <w:b w:val="false"/>
                <w:i w:val="false"/>
                <w:caps w:val="false"/>
                <w:smallCaps w:val="false"/>
                <w:sz w:val="20"/>
              </w:rPr>
              <w:t>(0.619) million</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58" w:name="xdx_412_20240101__20241231_zSmp0K4xOmP2"/>
            <w:bookmarkEnd w:id="58"/>
          </w:p>
        </w:tc>
      </w:tr>
      <w:tr>
        <w:trPr/>
        <w:tc>
          <w:tcPr>
            <w:tcW w:w="4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564,167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1,136,177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564,167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1,150,710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757,996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778,872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9" w:name="xdx_983_eecd--TotalShareholderRtnAmt_pp2"/>
            <w:bookmarkEnd w:id="59"/>
          </w:p>
        </w:tc>
        <w:tc>
          <w:tcPr>
            <w:tcW w:w="7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 w:name="xdx_90E_eus-gaap--NetIncomeLoss_pn3n6_c2"/>
            <w:bookmarkEnd w:id="60"/>
            <w:r>
              <w:rPr>
                <w:rFonts w:ascii="Times New Roman;Times;Serif" w:hAnsi="Times New Roman;Times;Serif"/>
                <w:b w:val="false"/>
                <w:i w:val="false"/>
                <w:caps w:val="false"/>
                <w:smallCaps w:val="false"/>
                <w:sz w:val="20"/>
              </w:rPr>
              <w:t>(8.136) million</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1" w:name="xdx_411_20230101__20231231_zVWXJamqGq05"/>
            <w:bookmarkEnd w:id="61"/>
          </w:p>
        </w:tc>
      </w:tr>
      <w:tr>
        <w:trPr/>
        <w:tc>
          <w:tcPr>
            <w:tcW w:w="4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674,783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(1,099,427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646,919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(219,583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2" w:name="xdx_90C_eus-gaap--NetIncomeLoss_pn3n6_c2"/>
            <w:bookmarkEnd w:id="62"/>
            <w:r>
              <w:rPr>
                <w:rFonts w:ascii="Times New Roman;Times;Serif" w:hAnsi="Times New Roman;Times;Serif"/>
                <w:b w:val="false"/>
                <w:i w:val="false"/>
                <w:caps w:val="false"/>
                <w:smallCaps w:val="false"/>
                <w:sz w:val="20"/>
              </w:rPr>
              <w:t xml:space="preserve">(343.066) million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3" w:name="xdx_F0E_z2ic2YbkcgAl"/>
            <w:bookmarkEnd w:id="63"/>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4" w:name="xdx_F16_zuQgKor5yCFe"/>
            <w:bookmarkEnd w:id="64"/>
            <w:r>
              <w:rPr>
                <w:rFonts w:ascii="Times New Roman;Times;Serif" w:hAnsi="Times New Roman;Times;Serif"/>
                <w:b w:val="false"/>
                <w:i w:val="false"/>
                <w:caps w:val="false"/>
                <w:smallCaps w:val="false"/>
                <w:sz w:val="20"/>
              </w:rPr>
              <w:t>Mr. Hightower served as the Company’s PEO until March 2024, following which Mr. Gallagher served as the Company’s PEO until September 2025, following which Alexander Matina served as the Company’s PEO for the remainder of 2025.</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5" w:name="xdx_F0A_z6IjUxij24H"/>
            <w:bookmarkEnd w:id="65"/>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6" w:name="xdx_F14_zpGtW2u5eBu5"/>
            <w:bookmarkEnd w:id="66"/>
            <w:r>
              <w:rPr>
                <w:rFonts w:ascii="Times New Roman;Times;Serif" w:hAnsi="Times New Roman;Times;Serif"/>
                <w:b w:val="false"/>
                <w:i w:val="false"/>
                <w:caps w:val="false"/>
                <w:smallCaps w:val="false"/>
                <w:sz w:val="20"/>
              </w:rPr>
              <w:t>The charts below detail the additions to and deductions from the Summary Compensation Table Totals to calculate the Compensation Actually Paid amounts.</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7" w:name="xdx_F03_zpjNj7TKQeXl"/>
            <w:bookmarkEnd w:id="67"/>
            <w:r>
              <w:rPr>
                <w:rFonts w:ascii="Times New Roman;Times;Serif" w:hAnsi="Times New Roman;Times;Serif"/>
                <w:b w:val="false"/>
                <w:i w:val="false"/>
                <w:caps w:val="false"/>
                <w:smallCaps w:val="false"/>
                <w:sz w:val="20"/>
              </w:rPr>
              <w:t>(3)</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8" w:name="xdx_F10_zHJm1XLg0btc"/>
            <w:bookmarkEnd w:id="68"/>
            <w:r>
              <w:rPr>
                <w:rFonts w:ascii="Times New Roman;Times;Serif" w:hAnsi="Times New Roman;Times;Serif"/>
                <w:b w:val="false"/>
                <w:i w:val="false"/>
                <w:caps w:val="false"/>
                <w:smallCaps w:val="false"/>
                <w:sz w:val="20"/>
              </w:rPr>
              <w:t>The Non-PEO NEOs include: 2024 — Daniel Ninivaggi and Adam Kroll, and 2023 — Mr. Ninivaggi, Mr. Kroll and Melissa Leonard.</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9" w:name="xdx_F0B_zkFWcRvsrom2"/>
            <w:bookmarkEnd w:id="69"/>
            <w:r>
              <w:rPr>
                <w:rFonts w:ascii="Times New Roman;Times;Serif" w:hAnsi="Times New Roman;Times;Serif"/>
                <w:b w:val="false"/>
                <w:i w:val="false"/>
                <w:caps w:val="false"/>
                <w:smallCaps w:val="false"/>
                <w:sz w:val="20"/>
              </w:rPr>
              <w:t>(4)</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 w:name="xdx_F15_zfjvt6cSRU2d"/>
            <w:bookmarkEnd w:id="70"/>
            <w:r>
              <w:rPr>
                <w:rFonts w:ascii="Times New Roman;Times;Serif" w:hAnsi="Times New Roman;Times;Serif"/>
                <w:b w:val="false"/>
                <w:i w:val="false"/>
                <w:caps w:val="false"/>
                <w:smallCaps w:val="false"/>
                <w:sz w:val="20"/>
              </w:rPr>
              <w:t>The cumulative TSR is from March 14, 2024, the date the Company emerged from bankruptcy, and is calculated as the difference between the Company’s share price at the end and the beginning of the measurement period by the Company’s share price at the beginning of the measurement period.</w:t>
            </w:r>
          </w:p>
        </w:tc>
      </w:tr>
    </w:tbl>
    <w:p>
      <w:pPr>
        <w:pStyle w:val="TextBody"/>
        <w:bidi w:val="0"/>
        <w:spacing w:before="0" w:after="0"/>
        <w:ind w:left="0" w:right="0" w:firstLine="360"/>
        <w:jc w:val="left"/>
        <w:rPr>
          <w:caps w:val="false"/>
          <w:smallCaps w:val="false"/>
        </w:rPr>
      </w:pPr>
      <w:bookmarkStart w:id="71" w:name="xdx_8A7_zdvgQD9FxiC7"/>
      <w:bookmarkEnd w:id="7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2" w:name="xdx_89F_eecd--AdjToPeoCompFnTextBlock_dU"/>
      <w:bookmarkEnd w:id="72"/>
      <w:r>
        <w:rPr>
          <w:rFonts w:ascii="Times New Roman;Times;Serif" w:hAnsi="Times New Roman;Times;Serif"/>
          <w:b w:val="false"/>
          <w:i w:val="false"/>
          <w:caps w:val="false"/>
          <w:smallCaps w:val="false"/>
          <w:sz w:val="20"/>
        </w:rPr>
        <w:t>The following table reconciles the PEO Summary Compensation Table totals to Compensation Actually Paid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13675" w:type="dxa"/>
        <w:jc w:val="left"/>
        <w:tblInd w:w="0" w:type="dxa"/>
        <w:tblLayout w:type="fixed"/>
        <w:tblCellMar>
          <w:top w:w="0" w:type="dxa"/>
          <w:left w:w="0" w:type="dxa"/>
          <w:bottom w:w="28" w:type="dxa"/>
          <w:right w:w="0" w:type="dxa"/>
        </w:tblCellMar>
      </w:tblPr>
      <w:tblGrid>
        <w:gridCol w:w="1055"/>
        <w:gridCol w:w="60"/>
        <w:gridCol w:w="60"/>
        <w:gridCol w:w="500"/>
        <w:gridCol w:w="60"/>
        <w:gridCol w:w="60"/>
        <w:gridCol w:w="140"/>
        <w:gridCol w:w="800"/>
        <w:gridCol w:w="60"/>
        <w:gridCol w:w="60"/>
        <w:gridCol w:w="89"/>
        <w:gridCol w:w="1401"/>
        <w:gridCol w:w="60"/>
        <w:gridCol w:w="60"/>
        <w:gridCol w:w="254"/>
        <w:gridCol w:w="1236"/>
        <w:gridCol w:w="60"/>
        <w:gridCol w:w="60"/>
        <w:gridCol w:w="221"/>
        <w:gridCol w:w="1269"/>
        <w:gridCol w:w="60"/>
        <w:gridCol w:w="60"/>
        <w:gridCol w:w="186"/>
        <w:gridCol w:w="1304"/>
        <w:gridCol w:w="60"/>
        <w:gridCol w:w="60"/>
        <w:gridCol w:w="193"/>
        <w:gridCol w:w="1042"/>
        <w:gridCol w:w="95"/>
        <w:gridCol w:w="60"/>
        <w:gridCol w:w="144"/>
        <w:gridCol w:w="1091"/>
        <w:gridCol w:w="95"/>
        <w:gridCol w:w="60"/>
        <w:gridCol w:w="174"/>
        <w:gridCol w:w="1316"/>
        <w:gridCol w:w="110"/>
      </w:tblGrid>
      <w:tr>
        <w:trPr/>
        <w:tc>
          <w:tcPr>
            <w:tcW w:w="1055"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3" w:name="xdx_48E_eecd--AdjToCompAmt_hecd--AdjToCo"/>
            <w:bookmarkEnd w:id="73"/>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4" w:name="xdx_488_eecd--AdjToCompAmt_hecd--AdjToCo"/>
            <w:bookmarkEnd w:id="74"/>
          </w:p>
        </w:tc>
        <w:tc>
          <w:tcPr>
            <w:tcW w:w="1490" w:type="dxa"/>
            <w:gridSpan w:val="2"/>
            <w:tcBorders>
              <w:bottom w:val="single" w:sz="8" w:space="0" w:color="000000"/>
            </w:tcBorders>
            <w:vAlign w:val="center"/>
          </w:tcPr>
          <w:p>
            <w:pPr>
              <w:pStyle w:val="TableContents"/>
              <w:bidi w:val="0"/>
              <w:jc w:val="center"/>
              <w:rPr>
                <w:b/>
              </w:rPr>
            </w:pPr>
            <w:r>
              <w:rPr>
                <w:b/>
              </w:rPr>
              <w:t>Bonus and</w:t>
            </w:r>
          </w:p>
          <w:p>
            <w:pPr>
              <w:pStyle w:val="TableContents"/>
              <w:bidi w:val="0"/>
              <w:jc w:val="center"/>
              <w:rPr>
                <w:b/>
              </w:rPr>
            </w:pPr>
            <w:r>
              <w:rPr>
                <w:b/>
              </w:rPr>
              <w:t>Non-Equity</w:t>
            </w:r>
          </w:p>
          <w:p>
            <w:pPr>
              <w:pStyle w:val="TableContents"/>
              <w:bidi w:val="0"/>
              <w:jc w:val="center"/>
              <w:rPr>
                <w:b/>
              </w:rPr>
            </w:pPr>
            <w:r>
              <w:rPr>
                <w:b/>
              </w:rPr>
              <w:t>Incentive Plan</w:t>
            </w:r>
          </w:p>
          <w:p>
            <w:pPr>
              <w:pStyle w:val="TableContents"/>
              <w:bidi w:val="0"/>
              <w:spacing w:before="0" w:after="283"/>
              <w:jc w:val="center"/>
              <w:rPr>
                <w:b/>
              </w:rPr>
            </w:pPr>
            <w:r>
              <w:rPr>
                <w:b/>
              </w:rP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5" w:name="xdx_482_eecd--AdjToCompAmt_hecd--AdjToCo"/>
            <w:bookmarkEnd w:id="75"/>
          </w:p>
        </w:tc>
        <w:tc>
          <w:tcPr>
            <w:tcW w:w="1490" w:type="dxa"/>
            <w:gridSpan w:val="2"/>
            <w:tcBorders>
              <w:bottom w:val="single" w:sz="8" w:space="0" w:color="000000"/>
            </w:tcBorders>
            <w:vAlign w:val="center"/>
          </w:tcPr>
          <w:p>
            <w:pPr>
              <w:pStyle w:val="TableContents"/>
              <w:bidi w:val="0"/>
              <w:jc w:val="center"/>
              <w:rPr>
                <w:b/>
              </w:rPr>
            </w:pPr>
            <w:r>
              <w:rPr>
                <w:b/>
              </w:rPr>
              <w:t>Equity</w:t>
            </w:r>
          </w:p>
          <w:p>
            <w:pPr>
              <w:pStyle w:val="TableContents"/>
              <w:bidi w:val="0"/>
              <w:spacing w:before="0" w:after="283"/>
              <w:jc w:val="center"/>
              <w:rPr>
                <w:b/>
              </w:rPr>
            </w:pPr>
            <w:r>
              <w:rPr>
                <w:b/>
              </w:rP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6" w:name="xdx_48B_eecd--AdjToCompAmt_hecd--AdjToCo"/>
            <w:bookmarkEnd w:id="76"/>
          </w:p>
        </w:tc>
        <w:tc>
          <w:tcPr>
            <w:tcW w:w="1490" w:type="dxa"/>
            <w:gridSpan w:val="2"/>
            <w:tcBorders>
              <w:bottom w:val="single" w:sz="8" w:space="0" w:color="000000"/>
            </w:tcBorders>
            <w:vAlign w:val="center"/>
          </w:tcPr>
          <w:p>
            <w:pPr>
              <w:pStyle w:val="TableContents"/>
              <w:bidi w:val="0"/>
              <w:jc w:val="center"/>
              <w:rPr>
                <w:b/>
              </w:rPr>
            </w:pPr>
            <w:r>
              <w:rPr>
                <w:b/>
              </w:rPr>
              <w:t>All Other</w:t>
            </w:r>
          </w:p>
          <w:p>
            <w:pPr>
              <w:pStyle w:val="TableContents"/>
              <w:bidi w:val="0"/>
              <w:spacing w:before="0" w:after="283"/>
              <w:jc w:val="center"/>
              <w:rPr>
                <w:b/>
              </w:rPr>
            </w:pPr>
            <w:r>
              <w:rPr>
                <w:b/>
              </w:rP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7" w:name="xdx_485_eecd--PeoTotalCompAmt_zDpCY21TfQ"/>
            <w:bookmarkEnd w:id="77"/>
          </w:p>
        </w:tc>
        <w:tc>
          <w:tcPr>
            <w:tcW w:w="1490" w:type="dxa"/>
            <w:gridSpan w:val="2"/>
            <w:tcBorders>
              <w:bottom w:val="single" w:sz="8" w:space="0" w:color="000000"/>
            </w:tcBorders>
            <w:vAlign w:val="center"/>
          </w:tcPr>
          <w:p>
            <w:pPr>
              <w:pStyle w:val="TableContents"/>
              <w:bidi w:val="0"/>
              <w:jc w:val="center"/>
              <w:rPr>
                <w:b/>
              </w:rPr>
            </w:pPr>
            <w:r>
              <w:rPr>
                <w:b/>
              </w:rPr>
              <w:t>Summary</w:t>
            </w:r>
          </w:p>
          <w:p>
            <w:pPr>
              <w:pStyle w:val="TableContents"/>
              <w:bidi w:val="0"/>
              <w:jc w:val="center"/>
              <w:rPr>
                <w:b/>
              </w:rPr>
            </w:pPr>
            <w:r>
              <w:rPr>
                <w:b/>
              </w:rPr>
              <w:t>Compensation</w:t>
            </w:r>
          </w:p>
          <w:p>
            <w:pPr>
              <w:pStyle w:val="TableContents"/>
              <w:bidi w:val="0"/>
              <w:spacing w:before="0" w:after="283"/>
              <w:jc w:val="center"/>
              <w:rPr>
                <w:b/>
              </w:rPr>
            </w:pPr>
            <w:r>
              <w:rPr>
                <w:b/>
              </w:rPr>
              <w:t>Table 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8" w:name="xdx_487_eecd--AdjToCompAmt_hecd--AdjToCo"/>
            <w:bookmarkEnd w:id="78"/>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bookmarkStart w:id="79" w:name="xdx_F5D_z1HdcOmmXLla"/>
            <w:bookmarkEnd w:id="79"/>
            <w:r>
              <w:rPr>
                <w:rFonts w:ascii="Times New Roman;Times;Serif" w:hAnsi="Times New Roman;Times;Serif"/>
                <w:b/>
                <w:i w:val="false"/>
                <w:caps w:val="false"/>
                <w:smallCaps w:val="false"/>
                <w:sz w:val="20"/>
              </w:rPr>
              <w:t>(1)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0" w:name="xdx_488_eecd--AdjToCompAmt_hecd--AdjToCo"/>
            <w:bookmarkEnd w:id="80"/>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Additions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Values</w:t>
            </w:r>
            <w:bookmarkStart w:id="81" w:name="xdx_F5B_zI8yFdLoo4wl"/>
            <w:bookmarkEnd w:id="81"/>
            <w:r>
              <w:rPr>
                <w:rFonts w:ascii="Times New Roman;Times;Serif" w:hAnsi="Times New Roman;Times;Serif"/>
                <w:b/>
                <w:i w:val="false"/>
                <w:caps w:val="false"/>
                <w:smallCaps w:val="false"/>
                <w:sz w:val="20"/>
              </w:rPr>
              <w:t>(2)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2" w:name="xdx_484_eecd--PeoActuallyPaidCompAmt_zXT"/>
            <w:bookmarkEnd w:id="82"/>
          </w:p>
        </w:tc>
        <w:tc>
          <w:tcPr>
            <w:tcW w:w="1490" w:type="dxa"/>
            <w:gridSpan w:val="2"/>
            <w:tcBorders>
              <w:bottom w:val="single" w:sz="8" w:space="0" w:color="000000"/>
            </w:tcBorders>
            <w:vAlign w:val="center"/>
          </w:tcPr>
          <w:p>
            <w:pPr>
              <w:pStyle w:val="TableContents"/>
              <w:bidi w:val="0"/>
              <w:jc w:val="center"/>
              <w:rPr>
                <w:b/>
              </w:rPr>
            </w:pPr>
            <w:r>
              <w:rPr>
                <w:b/>
              </w:rPr>
              <w:t>Compensation</w:t>
            </w:r>
          </w:p>
          <w:p>
            <w:pPr>
              <w:pStyle w:val="TableContents"/>
              <w:bidi w:val="0"/>
              <w:spacing w:before="0" w:after="283"/>
              <w:jc w:val="center"/>
              <w:rPr>
                <w:b/>
              </w:rPr>
            </w:pPr>
            <w:r>
              <w:rPr>
                <w:b/>
              </w:rPr>
              <w:t>Actually Paid</w:t>
            </w:r>
          </w:p>
        </w:tc>
        <w:tc>
          <w:tcPr>
            <w:tcW w:w="110" w:type="dxa"/>
            <w:tcBorders/>
            <w:tcMar>
              <w:bottom w:w="0" w:type="dxa"/>
            </w:tcMar>
            <w:vAlign w:val="center"/>
          </w:tcPr>
          <w:p>
            <w:pPr>
              <w:pStyle w:val="TableContents"/>
              <w:bidi w:val="0"/>
              <w:spacing w:before="0" w:after="283"/>
              <w:jc w:val="left"/>
              <w:rPr/>
            </w:pPr>
            <w:r>
              <w:rPr/>
              <w:t> </w:t>
            </w:r>
            <w:bookmarkStart w:id="83" w:name="xdx_415_20250101__20251231__ecd--Individ"/>
            <w:bookmarkEnd w:id="83"/>
          </w:p>
        </w:tc>
      </w:tr>
      <w:tr>
        <w:trPr/>
        <w:tc>
          <w:tcPr>
            <w:tcW w:w="1055" w:type="dxa"/>
            <w:tcBorders/>
            <w:shd w:fill="CCEEFF" w:val="clear"/>
            <w:tcMar>
              <w:bottom w:w="0" w:type="dxa"/>
            </w:tcMar>
            <w:vAlign w:val="center"/>
          </w:tcPr>
          <w:p>
            <w:pPr>
              <w:pStyle w:val="TableContents"/>
              <w:bidi w:val="0"/>
              <w:spacing w:before="0" w:after="283"/>
              <w:jc w:val="left"/>
              <w:rPr/>
            </w:pPr>
            <w:r>
              <w:rPr/>
              <w:t>Alexander Matina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109,514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84,055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117,667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311,236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right"/>
              <w:rPr/>
            </w:pPr>
            <w:r>
              <w:rPr/>
              <w:t>(84,055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283"/>
              <w:jc w:val="right"/>
              <w:rPr/>
            </w:pPr>
            <w:r>
              <w:rPr/>
              <w:t>98,290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316" w:type="dxa"/>
            <w:tcBorders/>
            <w:shd w:fill="CCEEFF" w:val="clear"/>
            <w:tcMar>
              <w:bottom w:w="0" w:type="dxa"/>
            </w:tcMar>
            <w:vAlign w:val="center"/>
          </w:tcPr>
          <w:p>
            <w:pPr>
              <w:pStyle w:val="TableContents"/>
              <w:bidi w:val="0"/>
              <w:spacing w:before="0" w:after="283"/>
              <w:jc w:val="right"/>
              <w:rPr/>
            </w:pPr>
            <w:r>
              <w:rPr/>
              <w:t>325,471</w:t>
            </w:r>
          </w:p>
        </w:tc>
        <w:tc>
          <w:tcPr>
            <w:tcW w:w="110" w:type="dxa"/>
            <w:tcBorders/>
            <w:shd w:fill="CCEEFF" w:val="clear"/>
            <w:tcMar>
              <w:bottom w:w="0" w:type="dxa"/>
            </w:tcMar>
            <w:vAlign w:val="center"/>
          </w:tcPr>
          <w:p>
            <w:pPr>
              <w:pStyle w:val="TableContents"/>
              <w:bidi w:val="0"/>
              <w:spacing w:before="0" w:after="283"/>
              <w:jc w:val="left"/>
              <w:rPr/>
            </w:pPr>
            <w:r>
              <w:rPr/>
              <w:t> </w:t>
            </w:r>
            <w:bookmarkStart w:id="84" w:name="xdx_416_20250101__20251231__ecd--Individ"/>
            <w:bookmarkEnd w:id="84"/>
          </w:p>
        </w:tc>
      </w:tr>
      <w:tr>
        <w:trPr/>
        <w:tc>
          <w:tcPr>
            <w:tcW w:w="1055" w:type="dxa"/>
            <w:tcBorders/>
            <w:shd w:fill="FFFFFF" w:val="clear"/>
            <w:tcMar>
              <w:bottom w:w="0" w:type="dxa"/>
            </w:tcMar>
            <w:vAlign w:val="center"/>
          </w:tcPr>
          <w:p>
            <w:pPr>
              <w:pStyle w:val="TableContents"/>
              <w:bidi w:val="0"/>
              <w:spacing w:before="0" w:after="283"/>
              <w:jc w:val="left"/>
              <w:rPr/>
            </w:pPr>
            <w:r>
              <w:rPr/>
              <w:t>William Gallagher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01" w:type="dxa"/>
            <w:tcBorders/>
            <w:shd w:fill="FFFFFF" w:val="clear"/>
            <w:tcMar>
              <w:bottom w:w="0" w:type="dxa"/>
            </w:tcM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261,096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261,096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0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w:t>
            </w:r>
          </w:p>
        </w:tc>
        <w:tc>
          <w:tcPr>
            <w:tcW w:w="1316" w:type="dxa"/>
            <w:tcBorders/>
            <w:shd w:fill="FFFFFF" w:val="clear"/>
            <w:tcMar>
              <w:bottom w:w="0" w:type="dxa"/>
            </w:tcMar>
            <w:vAlign w:val="center"/>
          </w:tcPr>
          <w:p>
            <w:pPr>
              <w:pStyle w:val="TableContents"/>
              <w:bidi w:val="0"/>
              <w:spacing w:before="0" w:after="283"/>
              <w:jc w:val="right"/>
              <w:rPr/>
            </w:pPr>
            <w:r>
              <w:rPr/>
              <w:t>261,096</w:t>
            </w:r>
          </w:p>
        </w:tc>
        <w:tc>
          <w:tcPr>
            <w:tcW w:w="110" w:type="dxa"/>
            <w:tcBorders/>
            <w:shd w:fill="FFFFFF" w:val="clear"/>
            <w:tcMar>
              <w:bottom w:w="0" w:type="dxa"/>
            </w:tcMar>
            <w:vAlign w:val="center"/>
          </w:tcPr>
          <w:p>
            <w:pPr>
              <w:pStyle w:val="TableContents"/>
              <w:bidi w:val="0"/>
              <w:spacing w:before="0" w:after="283"/>
              <w:jc w:val="left"/>
              <w:rPr/>
            </w:pPr>
            <w:r>
              <w:rPr/>
              <w:t> </w:t>
            </w:r>
            <w:bookmarkStart w:id="85" w:name="xdx_419_20240101__20241231__ecd--Individ"/>
            <w:bookmarkEnd w:id="85"/>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564,167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564,167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316" w:type="dxa"/>
            <w:tcBorders/>
            <w:shd w:fill="CCEEFF" w:val="clear"/>
            <w:tcMar>
              <w:bottom w:w="0" w:type="dxa"/>
            </w:tcMar>
            <w:vAlign w:val="center"/>
          </w:tcPr>
          <w:p>
            <w:pPr>
              <w:pStyle w:val="TableContents"/>
              <w:bidi w:val="0"/>
              <w:spacing w:before="0" w:after="283"/>
              <w:jc w:val="right"/>
              <w:rPr/>
            </w:pPr>
            <w:r>
              <w:rPr/>
              <w:t>564,167</w:t>
            </w:r>
          </w:p>
        </w:tc>
        <w:tc>
          <w:tcPr>
            <w:tcW w:w="110" w:type="dxa"/>
            <w:tcBorders/>
            <w:shd w:fill="CCEEFF" w:val="clear"/>
            <w:tcMar>
              <w:bottom w:w="0" w:type="dxa"/>
            </w:tcMar>
            <w:vAlign w:val="center"/>
          </w:tcPr>
          <w:p>
            <w:pPr>
              <w:pStyle w:val="TableContents"/>
              <w:bidi w:val="0"/>
              <w:spacing w:before="0" w:after="283"/>
              <w:jc w:val="left"/>
              <w:rPr/>
            </w:pPr>
            <w:r>
              <w:rPr/>
              <w:t> </w:t>
            </w:r>
            <w:bookmarkStart w:id="86" w:name="xdx_41F_20250101__20251231__ecd--Individ"/>
            <w:bookmarkEnd w:id="86"/>
          </w:p>
        </w:tc>
      </w:tr>
      <w:tr>
        <w:trPr/>
        <w:tc>
          <w:tcPr>
            <w:tcW w:w="1055" w:type="dxa"/>
            <w:tcBorders/>
            <w:shd w:fill="FFFFFF" w:val="clear"/>
            <w:tcMar>
              <w:bottom w:w="0" w:type="dxa"/>
            </w:tcMar>
            <w:vAlign w:val="center"/>
          </w:tcPr>
          <w:p>
            <w:pPr>
              <w:pStyle w:val="TableContents"/>
              <w:bidi w:val="0"/>
              <w:spacing w:before="0" w:after="283"/>
              <w:jc w:val="left"/>
              <w:rPr/>
            </w:pPr>
            <w:r>
              <w:rPr/>
              <w:t>Edward Hightower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0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87" w:name="xdx_41F_20240101__20241231__ecd--Individ"/>
            <w:bookmarkEnd w:id="87"/>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155,192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980,985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1,136,177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283"/>
              <w:jc w:val="right"/>
              <w:rPr/>
            </w:pPr>
            <w:r>
              <w:rPr/>
              <w:t>14,533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316" w:type="dxa"/>
            <w:tcBorders/>
            <w:shd w:fill="CCEEFF" w:val="clear"/>
            <w:tcMar>
              <w:bottom w:w="0" w:type="dxa"/>
            </w:tcMar>
            <w:vAlign w:val="center"/>
          </w:tcPr>
          <w:p>
            <w:pPr>
              <w:pStyle w:val="TableContents"/>
              <w:bidi w:val="0"/>
              <w:spacing w:before="0" w:after="283"/>
              <w:jc w:val="right"/>
              <w:rPr/>
            </w:pPr>
            <w:r>
              <w:rPr/>
              <w:t>1,150,710</w:t>
            </w:r>
          </w:p>
        </w:tc>
        <w:tc>
          <w:tcPr>
            <w:tcW w:w="110" w:type="dxa"/>
            <w:tcBorders/>
            <w:shd w:fill="CCEEFF" w:val="clear"/>
            <w:tcMar>
              <w:bottom w:w="0" w:type="dxa"/>
            </w:tcMar>
            <w:vAlign w:val="center"/>
          </w:tcPr>
          <w:p>
            <w:pPr>
              <w:pStyle w:val="TableContents"/>
              <w:bidi w:val="0"/>
              <w:spacing w:before="0" w:after="283"/>
              <w:jc w:val="left"/>
              <w:rPr/>
            </w:pPr>
            <w:r>
              <w:rPr/>
              <w:t> </w:t>
            </w:r>
            <w:bookmarkStart w:id="88" w:name="xdx_418_20230101__20231231__ecd--Individ"/>
            <w:bookmarkEnd w:id="88"/>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674,573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674,783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1" w:type="dxa"/>
            <w:tcBorders/>
            <w:shd w:fill="FFFFFF" w:val="clear"/>
            <w:tcMar>
              <w:bottom w:w="0" w:type="dxa"/>
            </w:tcMar>
            <w:vAlign w:val="center"/>
          </w:tcPr>
          <w:p>
            <w:pPr>
              <w:pStyle w:val="TableContents"/>
              <w:bidi w:val="0"/>
              <w:spacing w:before="0" w:after="283"/>
              <w:jc w:val="right"/>
              <w:rPr/>
            </w:pPr>
            <w:r>
              <w:rPr/>
              <w:t>(1,774,210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w:t>
            </w:r>
          </w:p>
        </w:tc>
        <w:tc>
          <w:tcPr>
            <w:tcW w:w="1316" w:type="dxa"/>
            <w:tcBorders/>
            <w:shd w:fill="FFFFFF" w:val="clear"/>
            <w:tcMar>
              <w:bottom w:w="0" w:type="dxa"/>
            </w:tcMar>
            <w:vAlign w:val="center"/>
          </w:tcPr>
          <w:p>
            <w:pPr>
              <w:pStyle w:val="TableContents"/>
              <w:bidi w:val="0"/>
              <w:spacing w:before="0" w:after="283"/>
              <w:jc w:val="right"/>
              <w:rPr/>
            </w:pPr>
            <w:r>
              <w:rPr/>
              <w:t>(1,099,427</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260"/>
        <w:gridCol w:w="630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9" w:name="xdx_F0E_zUwA5s0dSn76"/>
            <w:bookmarkEnd w:id="89"/>
            <w:r>
              <w:rPr>
                <w:rFonts w:ascii="Times New Roman;Times;Serif" w:hAnsi="Times New Roman;Times;Serif"/>
                <w:b w:val="false"/>
                <w:i w:val="false"/>
                <w:caps w:val="false"/>
                <w:smallCaps w:val="false"/>
                <w:sz w:val="20"/>
              </w:rPr>
              <w:t>(1)</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 w:name="xdx_F19_zkZbwYdZd8T5"/>
            <w:bookmarkEnd w:id="90"/>
            <w:r>
              <w:rPr>
                <w:rFonts w:ascii="Times New Roman;Times;Serif" w:hAnsi="Times New Roman;Times;Serif"/>
                <w:b w:val="false"/>
                <w:i w:val="false"/>
                <w:caps w:val="false"/>
                <w:smallCaps w:val="false"/>
                <w:sz w:val="20"/>
              </w:rPr>
              <w:t>Represents the grant date fair value of equity-based awards granted each year.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1" w:name="xdx_F09_zkyxQCCGj1u3"/>
            <w:bookmarkEnd w:id="91"/>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 w:name="xdx_F1A_zJR6hsIbIWld"/>
            <w:bookmarkEnd w:id="92"/>
            <w:r>
              <w:rPr>
                <w:rFonts w:ascii="Times New Roman;Times;Serif" w:hAnsi="Times New Roman;Times;Serif"/>
                <w:b w:val="false"/>
                <w:i w:val="false"/>
                <w:caps w:val="false"/>
                <w:smallCaps w:val="false"/>
                <w:sz w:val="20"/>
              </w:rPr>
              <w:t>Reflects the value of equity awards calculated in accordance with the SEC methodology for determining Compensation Actually Paid for each period presented. The deductions and additions for the equity component of compensation actually paid for each fiscal year is further detailed in the supplemental table below.</w:t>
            </w:r>
          </w:p>
        </w:tc>
      </w:tr>
    </w:tbl>
    <w:p>
      <w:pPr>
        <w:pStyle w:val="TextBody"/>
        <w:bidi w:val="0"/>
        <w:spacing w:before="0" w:after="0"/>
        <w:ind w:left="0" w:right="0" w:hanging="0"/>
        <w:jc w:val="left"/>
        <w:rPr>
          <w:caps w:val="false"/>
          <w:smallCaps w:val="false"/>
        </w:rPr>
      </w:pPr>
      <w:bookmarkStart w:id="93" w:name="xdx_8A5_zXE5fFxoaKIi"/>
      <w:bookmarkEnd w:id="93"/>
      <w:r>
        <w:rPr>
          <w:caps w:val="false"/>
          <w:smallCaps w:val="false"/>
        </w:rPr>
        <w:t> </w:t>
      </w:r>
    </w:p>
    <w:p>
      <w:pPr>
        <w:pStyle w:val="TextBody"/>
        <w:bidi w:val="0"/>
        <w:spacing w:before="0" w:after="0"/>
        <w:ind w:left="0" w:right="0" w:hanging="0"/>
        <w:jc w:val="left"/>
        <w:rPr>
          <w:caps w:val="false"/>
          <w:smallCaps w:val="false"/>
        </w:rPr>
      </w:pPr>
      <w:bookmarkStart w:id="94" w:name="xdx_89E_eecd--AdjToNonPeoNeoCompFnTextBl"/>
      <w:bookmarkEnd w:id="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Average Non-PEO NEO Summary Compensation Table totals to Compensation Actually Paid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2450" w:type="dxa"/>
        <w:jc w:val="left"/>
        <w:tblInd w:w="0" w:type="dxa"/>
        <w:tblLayout w:type="fixed"/>
        <w:tblCellMar>
          <w:top w:w="0" w:type="dxa"/>
          <w:left w:w="0" w:type="dxa"/>
          <w:bottom w:w="28" w:type="dxa"/>
          <w:right w:w="0" w:type="dxa"/>
        </w:tblCellMar>
      </w:tblPr>
      <w:tblGrid>
        <w:gridCol w:w="545"/>
        <w:gridCol w:w="60"/>
        <w:gridCol w:w="140"/>
        <w:gridCol w:w="800"/>
        <w:gridCol w:w="60"/>
        <w:gridCol w:w="60"/>
        <w:gridCol w:w="233"/>
        <w:gridCol w:w="1257"/>
        <w:gridCol w:w="60"/>
        <w:gridCol w:w="60"/>
        <w:gridCol w:w="249"/>
        <w:gridCol w:w="1241"/>
        <w:gridCol w:w="60"/>
        <w:gridCol w:w="60"/>
        <w:gridCol w:w="221"/>
        <w:gridCol w:w="1269"/>
        <w:gridCol w:w="60"/>
        <w:gridCol w:w="60"/>
        <w:gridCol w:w="221"/>
        <w:gridCol w:w="1269"/>
        <w:gridCol w:w="60"/>
        <w:gridCol w:w="60"/>
        <w:gridCol w:w="181"/>
        <w:gridCol w:w="1054"/>
        <w:gridCol w:w="60"/>
        <w:gridCol w:w="60"/>
        <w:gridCol w:w="170"/>
        <w:gridCol w:w="1065"/>
        <w:gridCol w:w="95"/>
        <w:gridCol w:w="60"/>
        <w:gridCol w:w="205"/>
        <w:gridCol w:w="1285"/>
        <w:gridCol w:w="110"/>
      </w:tblGrid>
      <w:tr>
        <w:trPr/>
        <w:tc>
          <w:tcPr>
            <w:tcW w:w="545" w:type="dxa"/>
            <w:tcBorders>
              <w:bottom w:val="single" w:sz="8"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95" w:name="xdx_48A_eecd--AdjToCompAmt_hecd--AdjToCo"/>
            <w:bookmarkEnd w:id="95"/>
          </w:p>
        </w:tc>
        <w:tc>
          <w:tcPr>
            <w:tcW w:w="940" w:type="dxa"/>
            <w:gridSpan w:val="2"/>
            <w:tcBorders>
              <w:bottom w:val="single" w:sz="8" w:space="0" w:color="000000"/>
            </w:tcBorders>
            <w:vAlign w:val="center"/>
          </w:tcPr>
          <w:p>
            <w:pPr>
              <w:pStyle w:val="TableContents"/>
              <w:bidi w:val="0"/>
              <w:jc w:val="center"/>
              <w:rPr>
                <w:b/>
              </w:rPr>
            </w:pPr>
            <w:r>
              <w:rPr>
                <w:b/>
              </w:rPr>
              <w:t>Average</w:t>
            </w:r>
          </w:p>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6" w:name="xdx_487_eecd--AdjToCompAmt_hecd--AdjToCo"/>
            <w:bookmarkEnd w:id="96"/>
          </w:p>
        </w:tc>
        <w:tc>
          <w:tcPr>
            <w:tcW w:w="1490" w:type="dxa"/>
            <w:gridSpan w:val="2"/>
            <w:tcBorders>
              <w:bottom w:val="single" w:sz="8" w:space="0" w:color="000000"/>
            </w:tcBorders>
            <w:vAlign w:val="center"/>
          </w:tcPr>
          <w:p>
            <w:pPr>
              <w:pStyle w:val="TableContents"/>
              <w:bidi w:val="0"/>
              <w:jc w:val="center"/>
              <w:rPr>
                <w:b/>
              </w:rPr>
            </w:pPr>
            <w:r>
              <w:rPr>
                <w:b/>
              </w:rPr>
              <w:t>Average</w:t>
            </w:r>
          </w:p>
          <w:p>
            <w:pPr>
              <w:pStyle w:val="TableContents"/>
              <w:bidi w:val="0"/>
              <w:jc w:val="center"/>
              <w:rPr>
                <w:b/>
              </w:rPr>
            </w:pPr>
            <w:r>
              <w:rPr>
                <w:b/>
              </w:rPr>
              <w:t>Bonus and</w:t>
            </w:r>
          </w:p>
          <w:p>
            <w:pPr>
              <w:pStyle w:val="TableContents"/>
              <w:bidi w:val="0"/>
              <w:jc w:val="center"/>
              <w:rPr>
                <w:b/>
              </w:rPr>
            </w:pPr>
            <w:r>
              <w:rPr>
                <w:b/>
              </w:rPr>
              <w:t>Non-Equity</w:t>
            </w:r>
          </w:p>
          <w:p>
            <w:pPr>
              <w:pStyle w:val="TableContents"/>
              <w:bidi w:val="0"/>
              <w:jc w:val="center"/>
              <w:rPr>
                <w:b/>
              </w:rPr>
            </w:pPr>
            <w:r>
              <w:rPr>
                <w:b/>
              </w:rPr>
              <w:t>Incentive</w:t>
            </w:r>
          </w:p>
          <w:p>
            <w:pPr>
              <w:pStyle w:val="TableContents"/>
              <w:bidi w:val="0"/>
              <w:jc w:val="center"/>
              <w:rPr>
                <w:b/>
              </w:rPr>
            </w:pPr>
            <w:r>
              <w:rPr>
                <w:b/>
              </w:rPr>
              <w:t>Plan</w:t>
            </w:r>
          </w:p>
          <w:p>
            <w:pPr>
              <w:pStyle w:val="TableContents"/>
              <w:bidi w:val="0"/>
              <w:spacing w:before="0" w:after="283"/>
              <w:jc w:val="center"/>
              <w:rPr>
                <w:b/>
              </w:rPr>
            </w:pPr>
            <w:r>
              <w:rPr>
                <w:b/>
              </w:rP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7" w:name="xdx_488_eecd--AdjToCompAmt_hecd--AdjToCo"/>
            <w:bookmarkEnd w:id="97"/>
          </w:p>
        </w:tc>
        <w:tc>
          <w:tcPr>
            <w:tcW w:w="1490" w:type="dxa"/>
            <w:gridSpan w:val="2"/>
            <w:tcBorders>
              <w:bottom w:val="single" w:sz="8" w:space="0" w:color="000000"/>
            </w:tcBorders>
            <w:vAlign w:val="center"/>
          </w:tcPr>
          <w:p>
            <w:pPr>
              <w:pStyle w:val="TableContents"/>
              <w:bidi w:val="0"/>
              <w:jc w:val="center"/>
              <w:rPr>
                <w:b/>
              </w:rPr>
            </w:pPr>
            <w:r>
              <w:rPr>
                <w:b/>
              </w:rPr>
              <w:t>Average</w:t>
            </w:r>
          </w:p>
          <w:p>
            <w:pPr>
              <w:pStyle w:val="TableContents"/>
              <w:bidi w:val="0"/>
              <w:jc w:val="center"/>
              <w:rPr>
                <w:b/>
              </w:rPr>
            </w:pPr>
            <w:r>
              <w:rPr>
                <w:b/>
              </w:rPr>
              <w:t>Equity</w:t>
            </w:r>
          </w:p>
          <w:p>
            <w:pPr>
              <w:pStyle w:val="TableContents"/>
              <w:bidi w:val="0"/>
              <w:spacing w:before="0" w:after="283"/>
              <w:jc w:val="center"/>
              <w:rPr>
                <w:b/>
              </w:rPr>
            </w:pPr>
            <w:r>
              <w:rPr>
                <w:b/>
              </w:rP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8" w:name="xdx_486_eecd--AdjToCompAmt_hecd--AdjToCo"/>
            <w:bookmarkEnd w:id="98"/>
          </w:p>
        </w:tc>
        <w:tc>
          <w:tcPr>
            <w:tcW w:w="1490" w:type="dxa"/>
            <w:gridSpan w:val="2"/>
            <w:tcBorders>
              <w:bottom w:val="single" w:sz="8" w:space="0" w:color="000000"/>
            </w:tcBorders>
            <w:vAlign w:val="center"/>
          </w:tcPr>
          <w:p>
            <w:pPr>
              <w:pStyle w:val="TableContents"/>
              <w:bidi w:val="0"/>
              <w:jc w:val="center"/>
              <w:rPr>
                <w:b/>
              </w:rPr>
            </w:pPr>
            <w:r>
              <w:rPr>
                <w:b/>
              </w:rPr>
              <w:t>Average All</w:t>
            </w:r>
          </w:p>
          <w:p>
            <w:pPr>
              <w:pStyle w:val="TableContents"/>
              <w:bidi w:val="0"/>
              <w:jc w:val="center"/>
              <w:rPr>
                <w:b/>
              </w:rPr>
            </w:pPr>
            <w:r>
              <w:rPr>
                <w:b/>
              </w:rPr>
              <w:t>Other</w:t>
            </w:r>
          </w:p>
          <w:p>
            <w:pPr>
              <w:pStyle w:val="TableContents"/>
              <w:bidi w:val="0"/>
              <w:spacing w:before="0" w:after="283"/>
              <w:jc w:val="center"/>
              <w:rPr>
                <w:b/>
              </w:rPr>
            </w:pPr>
            <w:r>
              <w:rPr>
                <w:b/>
              </w:rP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9" w:name="xdx_485_eecd--NonPeoNeoAvgTotalCompAmt_z"/>
            <w:bookmarkEnd w:id="99"/>
          </w:p>
        </w:tc>
        <w:tc>
          <w:tcPr>
            <w:tcW w:w="1490" w:type="dxa"/>
            <w:gridSpan w:val="2"/>
            <w:tcBorders>
              <w:bottom w:val="single" w:sz="8" w:space="0" w:color="000000"/>
            </w:tcBorders>
            <w:vAlign w:val="center"/>
          </w:tcPr>
          <w:p>
            <w:pPr>
              <w:pStyle w:val="TableContents"/>
              <w:bidi w:val="0"/>
              <w:jc w:val="center"/>
              <w:rPr>
                <w:b/>
              </w:rPr>
            </w:pPr>
            <w:r>
              <w:rPr>
                <w:b/>
              </w:rPr>
              <w:t>Average</w:t>
            </w:r>
          </w:p>
          <w:p>
            <w:pPr>
              <w:pStyle w:val="TableContents"/>
              <w:bidi w:val="0"/>
              <w:jc w:val="center"/>
              <w:rPr>
                <w:b/>
              </w:rPr>
            </w:pPr>
            <w:r>
              <w:rPr>
                <w:b/>
              </w:rPr>
              <w:t>Summary</w:t>
            </w:r>
          </w:p>
          <w:p>
            <w:pPr>
              <w:pStyle w:val="TableContents"/>
              <w:bidi w:val="0"/>
              <w:jc w:val="center"/>
              <w:rPr>
                <w:b/>
              </w:rPr>
            </w:pPr>
            <w:r>
              <w:rPr>
                <w:b/>
              </w:rPr>
              <w:t>Compensation</w:t>
            </w:r>
          </w:p>
          <w:p>
            <w:pPr>
              <w:pStyle w:val="TableContents"/>
              <w:bidi w:val="0"/>
              <w:spacing w:before="0" w:after="283"/>
              <w:jc w:val="center"/>
              <w:rPr>
                <w:b/>
              </w:rPr>
            </w:pPr>
            <w:r>
              <w:rPr>
                <w:b/>
              </w:rPr>
              <w:t>Table 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0" w:name="xdx_48E_eecd--AdjToCompAmt_hecd--AdjToCo"/>
            <w:bookmarkEnd w:id="100"/>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Deductions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bookmarkStart w:id="101" w:name="xdx_F5F_zg5DSTJtOe"/>
            <w:bookmarkEnd w:id="101"/>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2" w:name="xdx_489_eecd--AdjToCompAmt_hecd--AdjToCo"/>
            <w:bookmarkEnd w:id="102"/>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Additions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Values</w:t>
            </w:r>
            <w:bookmarkStart w:id="103" w:name="xdx_F5E_ztrUZWdOqbQ6"/>
            <w:bookmarkEnd w:id="103"/>
            <w:r>
              <w:rPr>
                <w:rFonts w:ascii="Times New Roman;Times;Serif" w:hAnsi="Times New Roman;Times;Serif"/>
                <w:b/>
                <w:i w:val="false"/>
                <w:caps w:val="false"/>
                <w:smallCaps w:val="false"/>
                <w:sz w:val="20"/>
              </w:rPr>
              <w:t>(2)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4" w:name="xdx_488_eecd--NonPeoNeoAvgCompActuallyPa"/>
            <w:bookmarkEnd w:id="104"/>
          </w:p>
        </w:tc>
        <w:tc>
          <w:tcPr>
            <w:tcW w:w="1490" w:type="dxa"/>
            <w:gridSpan w:val="2"/>
            <w:tcBorders>
              <w:bottom w:val="single" w:sz="8" w:space="0" w:color="000000"/>
            </w:tcBorders>
            <w:vAlign w:val="center"/>
          </w:tcPr>
          <w:p>
            <w:pPr>
              <w:pStyle w:val="TableContents"/>
              <w:bidi w:val="0"/>
              <w:jc w:val="center"/>
              <w:rPr>
                <w:b/>
              </w:rPr>
            </w:pPr>
            <w:r>
              <w:rPr>
                <w:b/>
              </w:rPr>
              <w:t>Average</w:t>
            </w:r>
          </w:p>
          <w:p>
            <w:pPr>
              <w:pStyle w:val="TableContents"/>
              <w:bidi w:val="0"/>
              <w:jc w:val="center"/>
              <w:rPr>
                <w:b/>
              </w:rPr>
            </w:pPr>
            <w:r>
              <w:rPr>
                <w:b/>
              </w:rPr>
              <w:t>Compensation</w:t>
            </w:r>
          </w:p>
          <w:p>
            <w:pPr>
              <w:pStyle w:val="TableContents"/>
              <w:bidi w:val="0"/>
              <w:spacing w:before="0" w:after="283"/>
              <w:jc w:val="center"/>
              <w:rPr>
                <w:b/>
              </w:rPr>
            </w:pPr>
            <w:r>
              <w:rPr>
                <w:b/>
              </w:rPr>
              <w:t>Actually Paid</w:t>
            </w:r>
          </w:p>
        </w:tc>
        <w:tc>
          <w:tcPr>
            <w:tcW w:w="110" w:type="dxa"/>
            <w:tcBorders/>
            <w:tcMar>
              <w:bottom w:w="0" w:type="dxa"/>
            </w:tcMar>
            <w:vAlign w:val="center"/>
          </w:tcPr>
          <w:p>
            <w:pPr>
              <w:pStyle w:val="TableContents"/>
              <w:bidi w:val="0"/>
              <w:spacing w:before="0" w:after="283"/>
              <w:jc w:val="left"/>
              <w:rPr/>
            </w:pPr>
            <w:r>
              <w:rPr/>
              <w:t> </w:t>
            </w:r>
            <w:bookmarkStart w:id="105" w:name="xdx_41F_20250101__20251231_zWXicG8vFKX7"/>
            <w:bookmarkEnd w:id="105"/>
          </w:p>
        </w:tc>
      </w:tr>
      <w:tr>
        <w:trPr/>
        <w:tc>
          <w:tcPr>
            <w:tcW w:w="54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w:t>
            </w:r>
          </w:p>
        </w:tc>
        <w:tc>
          <w:tcPr>
            <w:tcW w:w="12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5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6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128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106" w:name="xdx_414_20240101__20241231_znc0UiDzEy3l"/>
            <w:bookmarkEnd w:id="106"/>
          </w:p>
        </w:tc>
      </w:tr>
      <w:tr>
        <w:trPr/>
        <w:tc>
          <w:tcPr>
            <w:tcW w:w="545"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136,875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w:t>
            </w:r>
          </w:p>
        </w:tc>
        <w:tc>
          <w:tcPr>
            <w:tcW w:w="1257" w:type="dxa"/>
            <w:tcBorders/>
            <w:shd w:fill="FFFFFF" w:val="clear"/>
            <w:tcMar>
              <w:bottom w:w="0" w:type="dxa"/>
            </w:tcM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w:t>
            </w:r>
          </w:p>
        </w:tc>
        <w:tc>
          <w:tcPr>
            <w:tcW w:w="1241" w:type="dxa"/>
            <w:tcBorders/>
            <w:shd w:fill="FFFFFF" w:val="clear"/>
            <w:tcMar>
              <w:bottom w:w="0" w:type="dxa"/>
            </w:tcM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621,121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757,996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w:t>
            </w:r>
          </w:p>
        </w:tc>
        <w:tc>
          <w:tcPr>
            <w:tcW w:w="1054" w:type="dxa"/>
            <w:tcBorders/>
            <w:shd w:fill="FFFFFF" w:val="clear"/>
            <w:tcMar>
              <w:bottom w:w="0" w:type="dxa"/>
            </w:tcM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65" w:type="dxa"/>
            <w:tcBorders/>
            <w:shd w:fill="FFFFFF" w:val="clear"/>
            <w:tcMar>
              <w:bottom w:w="0" w:type="dxa"/>
            </w:tcMar>
            <w:vAlign w:val="center"/>
          </w:tcPr>
          <w:p>
            <w:pPr>
              <w:pStyle w:val="TableContents"/>
              <w:bidi w:val="0"/>
              <w:spacing w:before="0" w:after="283"/>
              <w:jc w:val="right"/>
              <w:rPr/>
            </w:pPr>
            <w:r>
              <w:rPr/>
              <w:t>20,876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w:t>
            </w:r>
          </w:p>
        </w:tc>
        <w:tc>
          <w:tcPr>
            <w:tcW w:w="1285" w:type="dxa"/>
            <w:tcBorders/>
            <w:shd w:fill="FFFFFF" w:val="clear"/>
            <w:tcMar>
              <w:bottom w:w="0" w:type="dxa"/>
            </w:tcMar>
            <w:vAlign w:val="center"/>
          </w:tcPr>
          <w:p>
            <w:pPr>
              <w:pStyle w:val="TableContents"/>
              <w:bidi w:val="0"/>
              <w:spacing w:before="0" w:after="283"/>
              <w:jc w:val="right"/>
              <w:rPr/>
            </w:pPr>
            <w:r>
              <w:rPr/>
              <w:t>778,872</w:t>
            </w:r>
          </w:p>
        </w:tc>
        <w:tc>
          <w:tcPr>
            <w:tcW w:w="110" w:type="dxa"/>
            <w:tcBorders/>
            <w:shd w:fill="FFFFFF" w:val="clear"/>
            <w:tcMar>
              <w:bottom w:w="0" w:type="dxa"/>
            </w:tcMar>
            <w:vAlign w:val="center"/>
          </w:tcPr>
          <w:p>
            <w:pPr>
              <w:pStyle w:val="TableContents"/>
              <w:bidi w:val="0"/>
              <w:spacing w:before="0" w:after="283"/>
              <w:jc w:val="left"/>
              <w:rPr/>
            </w:pPr>
            <w:r>
              <w:rPr/>
              <w:t> </w:t>
            </w:r>
            <w:bookmarkStart w:id="107" w:name="xdx_41A_20230101__20231231_zxnKcNtjUnxe"/>
            <w:bookmarkEnd w:id="107"/>
          </w:p>
        </w:tc>
      </w:tr>
      <w:tr>
        <w:trPr/>
        <w:tc>
          <w:tcPr>
            <w:tcW w:w="545"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454,022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w:t>
            </w:r>
          </w:p>
        </w:tc>
        <w:tc>
          <w:tcPr>
            <w:tcW w:w="12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192,897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646,919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5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65" w:type="dxa"/>
            <w:tcBorders/>
            <w:shd w:fill="CCEEFF" w:val="clear"/>
            <w:tcMar>
              <w:bottom w:w="0" w:type="dxa"/>
            </w:tcMar>
            <w:vAlign w:val="center"/>
          </w:tcPr>
          <w:p>
            <w:pPr>
              <w:pStyle w:val="TableContents"/>
              <w:bidi w:val="0"/>
              <w:spacing w:before="0" w:after="283"/>
              <w:jc w:val="right"/>
              <w:rPr/>
            </w:pPr>
            <w:r>
              <w:rPr/>
              <w:t>(866,502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1285" w:type="dxa"/>
            <w:tcBorders/>
            <w:shd w:fill="CCEEFF" w:val="clear"/>
            <w:tcMar>
              <w:bottom w:w="0" w:type="dxa"/>
            </w:tcMar>
            <w:vAlign w:val="center"/>
          </w:tcPr>
          <w:p>
            <w:pPr>
              <w:pStyle w:val="TableContents"/>
              <w:bidi w:val="0"/>
              <w:spacing w:before="0" w:after="283"/>
              <w:jc w:val="right"/>
              <w:rPr/>
            </w:pPr>
            <w:r>
              <w:rPr/>
              <w:t>(219,583</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60"/>
        <w:gridCol w:w="69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08" w:name="xdx_F05_zWl5aVU9JRv"/>
            <w:bookmarkEnd w:id="108"/>
            <w:r>
              <w:rPr>
                <w:rFonts w:ascii="Times New Roman;Times;Serif" w:hAnsi="Times New Roman;Times;Serif"/>
                <w:b w:val="false"/>
                <w:i w:val="false"/>
                <w:caps w:val="false"/>
                <w:smallCaps w:val="false"/>
                <w:sz w:val="20"/>
              </w:rPr>
              <w:t>(1)</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9" w:name="xdx_F11_z37bwbiIAqkk"/>
            <w:bookmarkEnd w:id="109"/>
            <w:r>
              <w:rPr>
                <w:rFonts w:ascii="Times New Roman;Times;Serif" w:hAnsi="Times New Roman;Times;Serif"/>
                <w:b w:val="false"/>
                <w:i w:val="false"/>
                <w:caps w:val="false"/>
                <w:smallCaps w:val="false"/>
                <w:sz w:val="20"/>
              </w:rPr>
              <w:t>Represents the average grant date fair value of equity-based awards granted each year.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0" w:name="xdx_F0A_zaQQHtKy0ue"/>
            <w:bookmarkEnd w:id="110"/>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1" w:name="xdx_F17_z3jw0sSDAe52"/>
            <w:bookmarkEnd w:id="111"/>
            <w:r>
              <w:rPr>
                <w:rFonts w:ascii="Times New Roman;Times;Serif" w:hAnsi="Times New Roman;Times;Serif"/>
                <w:b w:val="false"/>
                <w:i w:val="false"/>
                <w:caps w:val="false"/>
                <w:smallCaps w:val="false"/>
                <w:sz w:val="20"/>
              </w:rPr>
              <w:t>Reflects the value of equity awards calculated in accordance with the SEC methodology for determining Compensation Actually Paid for each period presented. The additions for the equity component of compensation actually paid for each fiscal year is further detailed in the supplemental table below.</w:t>
            </w:r>
          </w:p>
        </w:tc>
      </w:tr>
    </w:tbl>
    <w:p>
      <w:pPr>
        <w:pStyle w:val="TextBody"/>
        <w:bidi w:val="0"/>
        <w:spacing w:before="0" w:after="0"/>
        <w:ind w:left="0" w:right="0" w:hanging="0"/>
        <w:jc w:val="left"/>
        <w:rPr>
          <w:caps w:val="false"/>
          <w:smallCaps w:val="false"/>
        </w:rPr>
      </w:pPr>
      <w:bookmarkStart w:id="112" w:name="xdx_8A5_zR0L8N841TDh"/>
      <w:bookmarkEnd w:id="11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13" w:name="xdx_898_eecd--EquityValuationAssumptionD"/>
      <w:bookmarkEnd w:id="113"/>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includes supplemental data for the additions and deductions resulting in the equity component of PEO Compensation Actually Paid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20"/>
        <w:gridCol w:w="60"/>
        <w:gridCol w:w="530"/>
        <w:gridCol w:w="60"/>
        <w:gridCol w:w="157"/>
        <w:gridCol w:w="763"/>
        <w:gridCol w:w="60"/>
        <w:gridCol w:w="60"/>
        <w:gridCol w:w="140"/>
        <w:gridCol w:w="1055"/>
        <w:gridCol w:w="95"/>
        <w:gridCol w:w="60"/>
        <w:gridCol w:w="236"/>
        <w:gridCol w:w="1027"/>
        <w:gridCol w:w="60"/>
        <w:gridCol w:w="60"/>
        <w:gridCol w:w="221"/>
        <w:gridCol w:w="1079"/>
        <w:gridCol w:w="60"/>
        <w:gridCol w:w="60"/>
        <w:gridCol w:w="184"/>
        <w:gridCol w:w="1000"/>
        <w:gridCol w:w="95"/>
        <w:gridCol w:w="60"/>
        <w:gridCol w:w="174"/>
        <w:gridCol w:w="1316"/>
        <w:gridCol w:w="113"/>
      </w:tblGrid>
      <w:tr>
        <w:trPr/>
        <w:tc>
          <w:tcPr>
            <w:tcW w:w="1420" w:type="dxa"/>
            <w:tcBorders>
              <w:bottom w:val="single" w:sz="8" w:space="0" w:color="000000"/>
            </w:tcBorders>
            <w:vAlign w:val="center"/>
          </w:tcPr>
          <w:p>
            <w:pPr>
              <w:pStyle w:val="TableContents"/>
              <w:bidi w:val="0"/>
              <w:jc w:val="left"/>
              <w:rPr>
                <w:b/>
              </w:rPr>
            </w:pPr>
            <w:r>
              <w:rPr>
                <w:b/>
              </w:rPr>
              <w:t>Name and</w:t>
            </w:r>
          </w:p>
          <w:p>
            <w:pPr>
              <w:pStyle w:val="TableContents"/>
              <w:bidi w:val="0"/>
              <w:jc w:val="left"/>
              <w:rPr>
                <w:b/>
              </w:rPr>
            </w:pPr>
            <w:r>
              <w:rPr>
                <w:b/>
              </w:rPr>
              <w:t>Principal</w:t>
            </w:r>
          </w:p>
          <w:p>
            <w:pPr>
              <w:pStyle w:val="TableContents"/>
              <w:bidi w:val="0"/>
              <w:spacing w:before="0" w:after="283"/>
              <w:jc w:val="left"/>
              <w:rPr>
                <w:b/>
              </w:rPr>
            </w:pPr>
            <w:r>
              <w:rPr>
                <w:b/>
              </w:rPr>
              <w:t>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114" w:name="xdx_483_eecd--AdjToCompAmt_hecd--AdjToCo"/>
            <w:bookmarkEnd w:id="114"/>
          </w:p>
        </w:tc>
        <w:tc>
          <w:tcPr>
            <w:tcW w:w="920" w:type="dxa"/>
            <w:gridSpan w:val="2"/>
            <w:tcBorders>
              <w:bottom w:val="single" w:sz="8" w:space="0" w:color="000000"/>
            </w:tcBorders>
            <w:vAlign w:val="center"/>
          </w:tcPr>
          <w:p>
            <w:pPr>
              <w:pStyle w:val="TableContents"/>
              <w:bidi w:val="0"/>
              <w:jc w:val="center"/>
              <w:rPr>
                <w:b/>
              </w:rPr>
            </w:pPr>
            <w:r>
              <w:rPr>
                <w:b/>
              </w:rPr>
              <w:t>Addition</w:t>
            </w:r>
          </w:p>
          <w:p>
            <w:pPr>
              <w:pStyle w:val="TableContents"/>
              <w:bidi w:val="0"/>
              <w:jc w:val="center"/>
              <w:rPr>
                <w:b/>
              </w:rPr>
            </w:pPr>
            <w:r>
              <w:rPr>
                <w:b/>
              </w:rPr>
              <w:t>of Fair</w:t>
            </w:r>
          </w:p>
          <w:p>
            <w:pPr>
              <w:pStyle w:val="TableContents"/>
              <w:bidi w:val="0"/>
              <w:jc w:val="center"/>
              <w:rPr>
                <w:b/>
              </w:rPr>
            </w:pPr>
            <w:r>
              <w:rPr>
                <w:b/>
              </w:rPr>
              <w:t>Value of</w:t>
            </w:r>
          </w:p>
          <w:p>
            <w:pPr>
              <w:pStyle w:val="TableContents"/>
              <w:bidi w:val="0"/>
              <w:jc w:val="center"/>
              <w:rPr>
                <w:b/>
              </w:rPr>
            </w:pPr>
            <w:r>
              <w:rPr>
                <w:b/>
              </w:rPr>
              <w:t>Current</w:t>
            </w:r>
          </w:p>
          <w:p>
            <w:pPr>
              <w:pStyle w:val="TableContents"/>
              <w:bidi w:val="0"/>
              <w:jc w:val="center"/>
              <w:rPr>
                <w:b/>
              </w:rPr>
            </w:pPr>
            <w:r>
              <w:rPr>
                <w:b/>
              </w:rPr>
              <w:t>Year</w:t>
            </w:r>
          </w:p>
          <w:p>
            <w:pPr>
              <w:pStyle w:val="TableContents"/>
              <w:bidi w:val="0"/>
              <w:jc w:val="center"/>
              <w:rPr>
                <w:b/>
              </w:rPr>
            </w:pPr>
            <w:r>
              <w:rPr>
                <w:b/>
              </w:rPr>
              <w:t>Equity</w:t>
            </w:r>
          </w:p>
          <w:p>
            <w:pPr>
              <w:pStyle w:val="TableContents"/>
              <w:bidi w:val="0"/>
              <w:jc w:val="center"/>
              <w:rPr>
                <w:b/>
              </w:rPr>
            </w:pPr>
            <w:r>
              <w:rPr>
                <w:b/>
              </w:rPr>
              <w:t>Awards</w:t>
            </w:r>
          </w:p>
          <w:p>
            <w:pPr>
              <w:pStyle w:val="TableContents"/>
              <w:bidi w:val="0"/>
              <w:jc w:val="center"/>
              <w:rPr>
                <w:b/>
              </w:rPr>
            </w:pPr>
            <w:r>
              <w:rPr>
                <w:b/>
              </w:rPr>
              <w:t>at</w:t>
            </w:r>
          </w:p>
          <w:p>
            <w:pPr>
              <w:pStyle w:val="TableContents"/>
              <w:bidi w:val="0"/>
              <w:jc w:val="center"/>
              <w:rPr>
                <w:b/>
              </w:rPr>
            </w:pPr>
            <w:r>
              <w:rPr>
                <w:b/>
              </w:rPr>
              <w:t>Fiscal</w:t>
            </w:r>
          </w:p>
          <w:p>
            <w:pPr>
              <w:pStyle w:val="TableContents"/>
              <w:bidi w:val="0"/>
              <w:jc w:val="center"/>
              <w:rPr>
                <w:b/>
              </w:rPr>
            </w:pPr>
            <w:r>
              <w:rPr>
                <w:b/>
              </w:rPr>
              <w:t>Year</w:t>
            </w:r>
          </w:p>
          <w:p>
            <w:pPr>
              <w:pStyle w:val="TableContents"/>
              <w:bidi w:val="0"/>
              <w:spacing w:before="0" w:after="283"/>
              <w:jc w:val="center"/>
              <w:rPr>
                <w:b/>
              </w:rPr>
            </w:pPr>
            <w:r>
              <w:rPr>
                <w:b/>
              </w:rPr>
              <w:t>End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5" w:name="xdx_485_eecd--AdjToCompAmt_hecd--AdjToCo"/>
            <w:bookmarkEnd w:id="115"/>
          </w:p>
        </w:tc>
        <w:tc>
          <w:tcPr>
            <w:tcW w:w="119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(Deductions)</w:t>
            </w:r>
          </w:p>
          <w:p>
            <w:pPr>
              <w:pStyle w:val="TableContents"/>
              <w:bidi w:val="0"/>
              <w:jc w:val="center"/>
              <w:rPr>
                <w:rFonts w:ascii="Times New Roman;Times;Serif" w:hAnsi="Times New Roman;Times;Serif"/>
                <w:b/>
                <w:sz w:val="20"/>
              </w:rPr>
            </w:pPr>
            <w:r>
              <w:rPr>
                <w:rFonts w:ascii="Times New Roman;Times;Serif" w:hAnsi="Times New Roman;Times;Serif"/>
                <w:b/>
                <w:sz w:val="20"/>
              </w:rPr>
              <w:t>Additions for</w:t>
            </w:r>
          </w:p>
          <w:p>
            <w:pPr>
              <w:pStyle w:val="TableContents"/>
              <w:bidi w:val="0"/>
              <w:jc w:val="center"/>
              <w:rPr>
                <w:rFonts w:ascii="Times New Roman;Times;Serif" w:hAnsi="Times New Roman;Times;Serif"/>
                <w:b/>
                <w:sz w:val="20"/>
              </w:rPr>
            </w:pPr>
            <w:r>
              <w:rPr>
                <w:rFonts w:ascii="Times New Roman;Times;Serif" w:hAnsi="Times New Roman;Times;Serif"/>
                <w:b/>
                <w:sz w:val="20"/>
              </w:rPr>
              <w:t>Change in</w:t>
            </w:r>
          </w:p>
          <w:p>
            <w:pPr>
              <w:pStyle w:val="TableContents"/>
              <w:bidi w:val="0"/>
              <w:jc w:val="center"/>
              <w:rPr>
                <w:rFonts w:ascii="Times New Roman;Times;Serif" w:hAnsi="Times New Roman;Times;Serif"/>
                <w:b/>
                <w:sz w:val="20"/>
              </w:rPr>
            </w:pPr>
            <w:r>
              <w:rPr>
                <w:rFonts w:ascii="Times New Roman;Times;Serif" w:hAnsi="Times New Roman;Times;Serif"/>
                <w:b/>
                <w:sz w:val="20"/>
              </w:rPr>
              <w:t>Value of</w:t>
            </w:r>
          </w:p>
          <w:p>
            <w:pPr>
              <w:pStyle w:val="TableContents"/>
              <w:bidi w:val="0"/>
              <w:jc w:val="center"/>
              <w:rPr>
                <w:rFonts w:ascii="Times New Roman;Times;Serif" w:hAnsi="Times New Roman;Times;Serif"/>
                <w:b/>
                <w:sz w:val="20"/>
              </w:rPr>
            </w:pPr>
            <w:r>
              <w:rPr>
                <w:rFonts w:ascii="Times New Roman;Times;Serif" w:hAnsi="Times New Roman;Times;Serif"/>
                <w:b/>
                <w:sz w:val="20"/>
              </w:rPr>
              <w:t>Prior Years’</w:t>
            </w:r>
          </w:p>
          <w:p>
            <w:pPr>
              <w:pStyle w:val="TableContents"/>
              <w:bidi w:val="0"/>
              <w:jc w:val="center"/>
              <w:rPr>
                <w:rFonts w:ascii="Times New Roman;Times;Serif" w:hAnsi="Times New Roman;Times;Serif"/>
                <w:b/>
                <w:sz w:val="20"/>
              </w:rPr>
            </w:pPr>
            <w:r>
              <w:rPr>
                <w:rFonts w:ascii="Times New Roman;Times;Serif" w:hAnsi="Times New Roman;Times;Serif"/>
                <w:b/>
                <w:sz w:val="20"/>
              </w:rPr>
              <w:t>Awards</w:t>
            </w:r>
          </w:p>
          <w:p>
            <w:pPr>
              <w:pStyle w:val="TableContents"/>
              <w:bidi w:val="0"/>
              <w:jc w:val="center"/>
              <w:rPr>
                <w:rFonts w:ascii="Times New Roman;Times;Serif" w:hAnsi="Times New Roman;Times;Serif"/>
                <w:b/>
                <w:sz w:val="20"/>
              </w:rPr>
            </w:pPr>
            <w:r>
              <w:rPr>
                <w:rFonts w:ascii="Times New Roman;Times;Serif" w:hAnsi="Times New Roman;Times;Serif"/>
                <w:b/>
                <w:sz w:val="20"/>
              </w:rPr>
              <w:t>Unvested at</w:t>
            </w:r>
          </w:p>
          <w:p>
            <w:pPr>
              <w:pStyle w:val="TableContents"/>
              <w:bidi w:val="0"/>
              <w:jc w:val="center"/>
              <w:rPr>
                <w:rFonts w:ascii="Times New Roman;Times;Serif" w:hAnsi="Times New Roman;Times;Serif"/>
                <w:b/>
                <w:sz w:val="20"/>
              </w:rPr>
            </w:pPr>
            <w:r>
              <w:rPr>
                <w:rFonts w:ascii="Times New Roman;Times;Serif" w:hAnsi="Times New Roman;Times;Serif"/>
                <w:b/>
                <w:sz w:val="20"/>
              </w:rPr>
              <w:t>Fiscal Year</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6" w:name="xdx_48B_eecd--AdjToCompAmt_hecd--AdjToCo"/>
            <w:bookmarkEnd w:id="116"/>
          </w:p>
        </w:tc>
        <w:tc>
          <w:tcPr>
            <w:tcW w:w="1263" w:type="dxa"/>
            <w:gridSpan w:val="2"/>
            <w:tcBorders>
              <w:bottom w:val="single" w:sz="8" w:space="0" w:color="000000"/>
            </w:tcBorders>
            <w:vAlign w:val="center"/>
          </w:tcPr>
          <w:p>
            <w:pPr>
              <w:pStyle w:val="TableContents"/>
              <w:bidi w:val="0"/>
              <w:jc w:val="center"/>
              <w:rPr>
                <w:b/>
              </w:rPr>
            </w:pPr>
            <w:r>
              <w:rPr>
                <w:b/>
              </w:rPr>
              <w:t>Additions of Fair</w:t>
            </w:r>
          </w:p>
          <w:p>
            <w:pPr>
              <w:pStyle w:val="TableContents"/>
              <w:bidi w:val="0"/>
              <w:jc w:val="center"/>
              <w:rPr>
                <w:b/>
              </w:rPr>
            </w:pPr>
            <w:r>
              <w:rPr>
                <w:b/>
              </w:rPr>
              <w:t>Value, as</w:t>
            </w:r>
          </w:p>
          <w:p>
            <w:pPr>
              <w:pStyle w:val="TableContents"/>
              <w:bidi w:val="0"/>
              <w:jc w:val="center"/>
              <w:rPr>
                <w:b/>
              </w:rPr>
            </w:pPr>
            <w:r>
              <w:rPr>
                <w:b/>
              </w:rPr>
              <w:t>of the</w:t>
            </w:r>
          </w:p>
          <w:p>
            <w:pPr>
              <w:pStyle w:val="TableContents"/>
              <w:bidi w:val="0"/>
              <w:jc w:val="center"/>
              <w:rPr>
                <w:b/>
              </w:rPr>
            </w:pPr>
            <w:r>
              <w:rPr>
                <w:b/>
              </w:rPr>
              <w:t>Vesting</w:t>
            </w:r>
          </w:p>
          <w:p>
            <w:pPr>
              <w:pStyle w:val="TableContents"/>
              <w:bidi w:val="0"/>
              <w:jc w:val="center"/>
              <w:rPr>
                <w:b/>
              </w:rPr>
            </w:pPr>
            <w:r>
              <w:rPr>
                <w:b/>
              </w:rPr>
              <w:t>Date, of</w:t>
            </w:r>
          </w:p>
          <w:p>
            <w:pPr>
              <w:pStyle w:val="TableContents"/>
              <w:bidi w:val="0"/>
              <w:jc w:val="center"/>
              <w:rPr>
                <w:b/>
              </w:rPr>
            </w:pPr>
            <w:r>
              <w:rPr>
                <w:b/>
              </w:rPr>
              <w:t>Awards</w:t>
            </w:r>
          </w:p>
          <w:p>
            <w:pPr>
              <w:pStyle w:val="TableContents"/>
              <w:bidi w:val="0"/>
              <w:jc w:val="center"/>
              <w:rPr>
                <w:b/>
              </w:rPr>
            </w:pPr>
            <w:r>
              <w:rPr>
                <w:b/>
              </w:rPr>
              <w:t>that were</w:t>
            </w:r>
          </w:p>
          <w:p>
            <w:pPr>
              <w:pStyle w:val="TableContents"/>
              <w:bidi w:val="0"/>
              <w:jc w:val="center"/>
              <w:rPr>
                <w:b/>
              </w:rPr>
            </w:pPr>
            <w:r>
              <w:rPr>
                <w:b/>
              </w:rPr>
              <w:t>Granted</w:t>
            </w:r>
          </w:p>
          <w:p>
            <w:pPr>
              <w:pStyle w:val="TableContents"/>
              <w:bidi w:val="0"/>
              <w:jc w:val="center"/>
              <w:rPr>
                <w:b/>
              </w:rPr>
            </w:pPr>
            <w:r>
              <w:rPr>
                <w:b/>
              </w:rPr>
              <w:t>and</w:t>
            </w:r>
          </w:p>
          <w:p>
            <w:pPr>
              <w:pStyle w:val="TableContents"/>
              <w:bidi w:val="0"/>
              <w:jc w:val="center"/>
              <w:rPr>
                <w:b/>
              </w:rPr>
            </w:pPr>
            <w:r>
              <w:rPr>
                <w:b/>
              </w:rPr>
              <w:t>Vested in</w:t>
            </w:r>
          </w:p>
          <w:p>
            <w:pPr>
              <w:pStyle w:val="TableContents"/>
              <w:bidi w:val="0"/>
              <w:jc w:val="center"/>
              <w:rPr>
                <w:b/>
              </w:rPr>
            </w:pPr>
            <w:r>
              <w:rPr>
                <w:b/>
              </w:rPr>
              <w:t>the Same</w:t>
            </w:r>
          </w:p>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7" w:name="xdx_481_eecd--AdjToCompAmt_hecd--AdjToCo"/>
            <w:bookmarkEnd w:id="117"/>
          </w:p>
        </w:tc>
        <w:tc>
          <w:tcPr>
            <w:tcW w:w="1300" w:type="dxa"/>
            <w:gridSpan w:val="2"/>
            <w:tcBorders>
              <w:bottom w:val="single" w:sz="8" w:space="0" w:color="000000"/>
            </w:tcBorders>
            <w:vAlign w:val="center"/>
          </w:tcPr>
          <w:p>
            <w:pPr>
              <w:pStyle w:val="TableContents"/>
              <w:bidi w:val="0"/>
              <w:jc w:val="center"/>
              <w:rPr>
                <w:b/>
              </w:rPr>
            </w:pPr>
            <w:r>
              <w:rPr>
                <w:b/>
              </w:rPr>
              <w:t>Additions</w:t>
            </w:r>
          </w:p>
          <w:p>
            <w:pPr>
              <w:pStyle w:val="TableContents"/>
              <w:bidi w:val="0"/>
              <w:jc w:val="center"/>
              <w:rPr>
                <w:b/>
              </w:rPr>
            </w:pPr>
            <w:r>
              <w:rPr>
                <w:b/>
              </w:rPr>
              <w:t>(Deductions)</w:t>
            </w:r>
          </w:p>
          <w:p>
            <w:pPr>
              <w:pStyle w:val="TableContents"/>
              <w:bidi w:val="0"/>
              <w:jc w:val="center"/>
              <w:rPr>
                <w:b/>
              </w:rPr>
            </w:pPr>
            <w:r>
              <w:rPr>
                <w:b/>
              </w:rPr>
              <w:t>for Change in</w:t>
            </w:r>
          </w:p>
          <w:p>
            <w:pPr>
              <w:pStyle w:val="TableContents"/>
              <w:bidi w:val="0"/>
              <w:jc w:val="center"/>
              <w:rPr>
                <w:b/>
              </w:rPr>
            </w:pPr>
            <w:r>
              <w:rPr>
                <w:b/>
              </w:rPr>
              <w:t>Value of</w:t>
            </w:r>
          </w:p>
          <w:p>
            <w:pPr>
              <w:pStyle w:val="TableContents"/>
              <w:bidi w:val="0"/>
              <w:jc w:val="center"/>
              <w:rPr>
                <w:b/>
              </w:rPr>
            </w:pPr>
            <w:r>
              <w:rPr>
                <w:b/>
              </w:rPr>
              <w:t>Prior Years’</w:t>
            </w:r>
          </w:p>
          <w:p>
            <w:pPr>
              <w:pStyle w:val="TableContents"/>
              <w:bidi w:val="0"/>
              <w:jc w:val="center"/>
              <w:rPr>
                <w:b/>
              </w:rPr>
            </w:pPr>
            <w:r>
              <w:rPr>
                <w:b/>
              </w:rPr>
              <w:t>Awards</w:t>
            </w:r>
          </w:p>
          <w:p>
            <w:pPr>
              <w:pStyle w:val="TableContents"/>
              <w:bidi w:val="0"/>
              <w:jc w:val="center"/>
              <w:rPr>
                <w:b/>
              </w:rPr>
            </w:pPr>
            <w:r>
              <w:rPr>
                <w:b/>
              </w:rPr>
              <w:t>That Vested</w:t>
            </w:r>
          </w:p>
          <w:p>
            <w:pPr>
              <w:pStyle w:val="TableContents"/>
              <w:bidi w:val="0"/>
              <w:jc w:val="center"/>
              <w:rPr>
                <w:b/>
              </w:rPr>
            </w:pPr>
            <w:r>
              <w:rPr>
                <w:b/>
              </w:rPr>
              <w:t>in Fiscal</w:t>
            </w:r>
          </w:p>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8" w:name="xdx_486_eecd--AdjToCompAmt_hecd--AdjToCo"/>
            <w:bookmarkEnd w:id="118"/>
          </w:p>
        </w:tc>
        <w:tc>
          <w:tcPr>
            <w:tcW w:w="1184" w:type="dxa"/>
            <w:gridSpan w:val="2"/>
            <w:tcBorders>
              <w:bottom w:val="single" w:sz="8" w:space="0" w:color="000000"/>
            </w:tcBorders>
            <w:vAlign w:val="center"/>
          </w:tcPr>
          <w:p>
            <w:pPr>
              <w:pStyle w:val="TableContents"/>
              <w:bidi w:val="0"/>
              <w:jc w:val="center"/>
              <w:rPr>
                <w:b/>
              </w:rPr>
            </w:pPr>
            <w:r>
              <w:rPr>
                <w:b/>
              </w:rPr>
              <w:t>Deductions:</w:t>
            </w:r>
          </w:p>
          <w:p>
            <w:pPr>
              <w:pStyle w:val="TableContents"/>
              <w:bidi w:val="0"/>
              <w:jc w:val="center"/>
              <w:rPr>
                <w:b/>
              </w:rPr>
            </w:pPr>
            <w:r>
              <w:rPr>
                <w:b/>
              </w:rPr>
              <w:t>Year End</w:t>
            </w:r>
          </w:p>
          <w:p>
            <w:pPr>
              <w:pStyle w:val="TableContents"/>
              <w:bidi w:val="0"/>
              <w:jc w:val="center"/>
              <w:rPr>
                <w:b/>
              </w:rPr>
            </w:pPr>
            <w:r>
              <w:rPr>
                <w:b/>
              </w:rPr>
              <w:t>Fair Value</w:t>
            </w:r>
          </w:p>
          <w:p>
            <w:pPr>
              <w:pStyle w:val="TableContents"/>
              <w:bidi w:val="0"/>
              <w:jc w:val="center"/>
              <w:rPr>
                <w:b/>
              </w:rPr>
            </w:pPr>
            <w:r>
              <w:rPr>
                <w:b/>
              </w:rPr>
              <w:t>of Equity</w:t>
            </w:r>
          </w:p>
          <w:p>
            <w:pPr>
              <w:pStyle w:val="TableContents"/>
              <w:bidi w:val="0"/>
              <w:jc w:val="center"/>
              <w:rPr>
                <w:b/>
              </w:rPr>
            </w:pPr>
            <w:r>
              <w:rPr>
                <w:b/>
              </w:rPr>
              <w:t>Awards</w:t>
            </w:r>
          </w:p>
          <w:p>
            <w:pPr>
              <w:pStyle w:val="TableContents"/>
              <w:bidi w:val="0"/>
              <w:jc w:val="center"/>
              <w:rPr>
                <w:b/>
              </w:rPr>
            </w:pPr>
            <w:r>
              <w:rPr>
                <w:b/>
              </w:rPr>
              <w:t>Granted in</w:t>
            </w:r>
          </w:p>
          <w:p>
            <w:pPr>
              <w:pStyle w:val="TableContents"/>
              <w:bidi w:val="0"/>
              <w:jc w:val="center"/>
              <w:rPr>
                <w:b/>
              </w:rPr>
            </w:pPr>
            <w:r>
              <w:rPr>
                <w:b/>
              </w:rPr>
              <w:t>Prior</w:t>
            </w:r>
          </w:p>
          <w:p>
            <w:pPr>
              <w:pStyle w:val="TableContents"/>
              <w:bidi w:val="0"/>
              <w:jc w:val="center"/>
              <w:rPr>
                <w:b/>
              </w:rPr>
            </w:pPr>
            <w:r>
              <w:rPr>
                <w:b/>
              </w:rPr>
              <w:t>Years that</w:t>
            </w:r>
          </w:p>
          <w:p>
            <w:pPr>
              <w:pStyle w:val="TableContents"/>
              <w:bidi w:val="0"/>
              <w:jc w:val="center"/>
              <w:rPr>
                <w:b/>
              </w:rPr>
            </w:pPr>
            <w:r>
              <w:rPr>
                <w:b/>
              </w:rPr>
              <w:t>Failed to</w:t>
            </w:r>
          </w:p>
          <w:p>
            <w:pPr>
              <w:pStyle w:val="TableContents"/>
              <w:bidi w:val="0"/>
              <w:jc w:val="center"/>
              <w:rPr>
                <w:b/>
              </w:rPr>
            </w:pPr>
            <w:r>
              <w:rPr>
                <w:b/>
              </w:rPr>
              <w:t>Meet</w:t>
            </w:r>
          </w:p>
          <w:p>
            <w:pPr>
              <w:pStyle w:val="TableContents"/>
              <w:bidi w:val="0"/>
              <w:jc w:val="center"/>
              <w:rPr>
                <w:b/>
              </w:rPr>
            </w:pPr>
            <w:r>
              <w:rPr>
                <w:b/>
              </w:rPr>
              <w:t>Vesting</w:t>
            </w:r>
          </w:p>
          <w:p>
            <w:pPr>
              <w:pStyle w:val="TableContents"/>
              <w:bidi w:val="0"/>
              <w:spacing w:before="0" w:after="283"/>
              <w:jc w:val="center"/>
              <w:rPr>
                <w:b/>
              </w:rPr>
            </w:pPr>
            <w:r>
              <w:rPr>
                <w:b/>
              </w:rPr>
              <w:t>Conditions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9" w:name="xdx_48F_eecd--AdjToCompAmt_hecd--AdjToCo"/>
            <w:bookmarkEnd w:id="119"/>
          </w:p>
        </w:tc>
        <w:tc>
          <w:tcPr>
            <w:tcW w:w="1490" w:type="dxa"/>
            <w:gridSpan w:val="2"/>
            <w:tcBorders>
              <w:bottom w:val="single" w:sz="8" w:space="0" w:color="000000"/>
            </w:tcBorders>
            <w:vAlign w:val="center"/>
          </w:tcPr>
          <w:p>
            <w:pPr>
              <w:pStyle w:val="TableContents"/>
              <w:bidi w:val="0"/>
              <w:jc w:val="center"/>
              <w:rPr>
                <w:b/>
              </w:rPr>
            </w:pPr>
            <w:r>
              <w:rPr>
                <w:b/>
              </w:rPr>
              <w:t>Equity Value</w:t>
            </w:r>
          </w:p>
          <w:p>
            <w:pPr>
              <w:pStyle w:val="TableContents"/>
              <w:bidi w:val="0"/>
              <w:jc w:val="center"/>
              <w:rPr>
                <w:b/>
              </w:rPr>
            </w:pPr>
            <w:r>
              <w:rPr>
                <w:b/>
              </w:rPr>
              <w:t>Included in</w:t>
            </w:r>
          </w:p>
          <w:p>
            <w:pPr>
              <w:pStyle w:val="TableContents"/>
              <w:bidi w:val="0"/>
              <w:jc w:val="center"/>
              <w:rPr>
                <w:b/>
              </w:rPr>
            </w:pPr>
            <w:r>
              <w:rPr>
                <w:b/>
              </w:rPr>
              <w:t>Compensation</w:t>
            </w:r>
          </w:p>
          <w:p>
            <w:pPr>
              <w:pStyle w:val="TableContents"/>
              <w:bidi w:val="0"/>
              <w:spacing w:before="0" w:after="283"/>
              <w:jc w:val="center"/>
              <w:rPr>
                <w:b/>
              </w:rPr>
            </w:pPr>
            <w:r>
              <w:rPr>
                <w:b/>
              </w:rPr>
              <w:t>Actually Paid</w:t>
            </w:r>
          </w:p>
        </w:tc>
        <w:tc>
          <w:tcPr>
            <w:tcW w:w="113" w:type="dxa"/>
            <w:tcBorders/>
            <w:tcMar>
              <w:bottom w:w="0" w:type="dxa"/>
            </w:tcMar>
            <w:vAlign w:val="center"/>
          </w:tcPr>
          <w:p>
            <w:pPr>
              <w:pStyle w:val="TableContents"/>
              <w:bidi w:val="0"/>
              <w:spacing w:before="0" w:after="283"/>
              <w:jc w:val="left"/>
              <w:rPr/>
            </w:pPr>
            <w:r>
              <w:rPr/>
              <w:t> </w:t>
            </w:r>
            <w:bookmarkStart w:id="120" w:name="xdx_415_20250101__20251231__ecd--Individ"/>
            <w:bookmarkEnd w:id="120"/>
          </w:p>
        </w:tc>
      </w:tr>
      <w:tr>
        <w:trPr/>
        <w:tc>
          <w:tcPr>
            <w:tcW w:w="1420" w:type="dxa"/>
            <w:tcBorders/>
            <w:shd w:fill="CCEEFF" w:val="clear"/>
            <w:tcMar>
              <w:bottom w:w="0" w:type="dxa"/>
            </w:tcMar>
            <w:vAlign w:val="center"/>
          </w:tcPr>
          <w:p>
            <w:pPr>
              <w:pStyle w:val="TableContents"/>
              <w:bidi w:val="0"/>
              <w:spacing w:before="0" w:after="283"/>
              <w:jc w:val="left"/>
              <w:rPr/>
            </w:pPr>
            <w:r>
              <w:rPr/>
              <w:t>Alexander Matina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763" w:type="dxa"/>
            <w:tcBorders/>
            <w:shd w:fill="CCEEFF" w:val="clear"/>
            <w:tcMar>
              <w:bottom w:w="0" w:type="dxa"/>
            </w:tcMar>
            <w:vAlign w:val="center"/>
          </w:tcPr>
          <w:p>
            <w:pPr>
              <w:pStyle w:val="TableContents"/>
              <w:bidi w:val="0"/>
              <w:spacing w:before="0" w:after="283"/>
              <w:jc w:val="right"/>
              <w:rPr/>
            </w:pPr>
            <w:r>
              <w:rPr/>
              <w:t>98,290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316" w:type="dxa"/>
            <w:tcBorders/>
            <w:shd w:fill="CCEEFF" w:val="clear"/>
            <w:tcMar>
              <w:bottom w:w="0" w:type="dxa"/>
            </w:tcMar>
            <w:vAlign w:val="center"/>
          </w:tcPr>
          <w:p>
            <w:pPr>
              <w:pStyle w:val="TableContents"/>
              <w:bidi w:val="0"/>
              <w:spacing w:before="0" w:after="283"/>
              <w:jc w:val="right"/>
              <w:rPr/>
            </w:pPr>
            <w:r>
              <w:rPr/>
              <w:t>98,290</w:t>
            </w:r>
          </w:p>
        </w:tc>
        <w:tc>
          <w:tcPr>
            <w:tcW w:w="113" w:type="dxa"/>
            <w:tcBorders/>
            <w:shd w:fill="CCEEFF" w:val="clear"/>
            <w:tcMar>
              <w:bottom w:w="0" w:type="dxa"/>
            </w:tcMar>
            <w:vAlign w:val="center"/>
          </w:tcPr>
          <w:p>
            <w:pPr>
              <w:pStyle w:val="TableContents"/>
              <w:bidi w:val="0"/>
              <w:spacing w:before="0" w:after="283"/>
              <w:jc w:val="left"/>
              <w:rPr/>
            </w:pPr>
            <w:r>
              <w:rPr/>
              <w:t> </w:t>
            </w:r>
            <w:bookmarkStart w:id="121" w:name="xdx_41F_20250101__20251231__ecd--Individ"/>
            <w:bookmarkEnd w:id="121"/>
          </w:p>
        </w:tc>
      </w:tr>
      <w:tr>
        <w:trPr/>
        <w:tc>
          <w:tcPr>
            <w:tcW w:w="1420" w:type="dxa"/>
            <w:tcBorders/>
            <w:shd w:fill="FFFFFF" w:val="clear"/>
            <w:tcMar>
              <w:bottom w:w="0" w:type="dxa"/>
            </w:tcMar>
            <w:vAlign w:val="center"/>
          </w:tcPr>
          <w:p>
            <w:pPr>
              <w:pStyle w:val="TableContents"/>
              <w:bidi w:val="0"/>
              <w:spacing w:before="0" w:after="283"/>
              <w:jc w:val="left"/>
              <w:rPr/>
            </w:pPr>
            <w:r>
              <w:rPr/>
              <w:t>William Gallagher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right"/>
              <w:rPr/>
            </w:pPr>
            <w:r>
              <w:rPr/>
              <w:t>—</w:t>
            </w:r>
          </w:p>
        </w:tc>
        <w:tc>
          <w:tcPr>
            <w:tcW w:w="113" w:type="dxa"/>
            <w:tcBorders/>
            <w:shd w:fill="FFFFFF" w:val="clear"/>
            <w:tcMar>
              <w:bottom w:w="0" w:type="dxa"/>
            </w:tcMar>
            <w:vAlign w:val="center"/>
          </w:tcPr>
          <w:p>
            <w:pPr>
              <w:pStyle w:val="TableContents"/>
              <w:bidi w:val="0"/>
              <w:spacing w:before="0" w:after="283"/>
              <w:jc w:val="left"/>
              <w:rPr/>
            </w:pPr>
            <w:r>
              <w:rPr/>
              <w:t> </w:t>
            </w:r>
            <w:bookmarkStart w:id="122" w:name="xdx_415_20240101__20241231__ecd--Individ"/>
            <w:bookmarkEnd w:id="122"/>
          </w:p>
        </w:tc>
      </w:tr>
      <w:tr>
        <w:trPr/>
        <w:tc>
          <w:tcPr>
            <w:tcW w:w="14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 </w:t>
            </w:r>
            <w:bookmarkStart w:id="123" w:name="xdx_415_20240101__20241231__ecd--Individ"/>
            <w:bookmarkEnd w:id="123"/>
          </w:p>
        </w:tc>
      </w:tr>
      <w:tr>
        <w:trPr/>
        <w:tc>
          <w:tcPr>
            <w:tcW w:w="1420" w:type="dxa"/>
            <w:tcBorders/>
            <w:shd w:fill="FFFFFF" w:val="clear"/>
            <w:tcMar>
              <w:bottom w:w="0" w:type="dxa"/>
            </w:tcMar>
            <w:vAlign w:val="center"/>
          </w:tcPr>
          <w:p>
            <w:pPr>
              <w:pStyle w:val="TableContents"/>
              <w:bidi w:val="0"/>
              <w:spacing w:before="0" w:after="283"/>
              <w:jc w:val="left"/>
              <w:rPr/>
            </w:pPr>
            <w:r>
              <w:rPr/>
              <w:t>Edward T. Hightower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079" w:type="dxa"/>
            <w:tcBorders/>
            <w:shd w:fill="FFFFFF" w:val="clear"/>
            <w:tcMar>
              <w:bottom w:w="0" w:type="dxa"/>
            </w:tcMar>
            <w:vAlign w:val="center"/>
          </w:tcPr>
          <w:p>
            <w:pPr>
              <w:pStyle w:val="TableContents"/>
              <w:bidi w:val="0"/>
              <w:spacing w:before="0" w:after="283"/>
              <w:jc w:val="right"/>
              <w:rPr/>
            </w:pPr>
            <w:r>
              <w:rPr/>
              <w:t>38,533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w:t>
            </w:r>
          </w:p>
        </w:tc>
        <w:tc>
          <w:tcPr>
            <w:tcW w:w="1000" w:type="dxa"/>
            <w:tcBorders/>
            <w:shd w:fill="FFFFFF" w:val="clear"/>
            <w:tcMar>
              <w:bottom w:w="0" w:type="dxa"/>
            </w:tcMar>
            <w:vAlign w:val="center"/>
          </w:tcPr>
          <w:p>
            <w:pPr>
              <w:pStyle w:val="TableContents"/>
              <w:bidi w:val="0"/>
              <w:spacing w:before="0" w:after="283"/>
              <w:jc w:val="right"/>
              <w:rPr/>
            </w:pPr>
            <w:r>
              <w:rPr/>
              <w:t>(24,000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w:t>
            </w:r>
          </w:p>
        </w:tc>
        <w:tc>
          <w:tcPr>
            <w:tcW w:w="1316" w:type="dxa"/>
            <w:tcBorders/>
            <w:shd w:fill="FFFFFF" w:val="clear"/>
            <w:tcMar>
              <w:bottom w:w="0" w:type="dxa"/>
            </w:tcMar>
            <w:vAlign w:val="center"/>
          </w:tcPr>
          <w:p>
            <w:pPr>
              <w:pStyle w:val="TableContents"/>
              <w:bidi w:val="0"/>
              <w:spacing w:before="0" w:after="283"/>
              <w:jc w:val="right"/>
              <w:rPr/>
            </w:pPr>
            <w:r>
              <w:rPr/>
              <w:t>14,533</w:t>
            </w:r>
          </w:p>
        </w:tc>
        <w:tc>
          <w:tcPr>
            <w:tcW w:w="113" w:type="dxa"/>
            <w:tcBorders/>
            <w:shd w:fill="FFFFFF" w:val="clear"/>
            <w:tcMar>
              <w:bottom w:w="0" w:type="dxa"/>
            </w:tcMar>
            <w:vAlign w:val="center"/>
          </w:tcPr>
          <w:p>
            <w:pPr>
              <w:pStyle w:val="TableContents"/>
              <w:bidi w:val="0"/>
              <w:spacing w:before="0" w:after="283"/>
              <w:jc w:val="left"/>
              <w:rPr/>
            </w:pPr>
            <w:r>
              <w:rPr/>
              <w:t> </w:t>
            </w:r>
            <w:bookmarkStart w:id="124" w:name="xdx_410_20230101__20231231__ecd--Individ"/>
            <w:bookmarkEnd w:id="124"/>
          </w:p>
        </w:tc>
      </w:tr>
      <w:tr>
        <w:trPr/>
        <w:tc>
          <w:tcPr>
            <w:tcW w:w="14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(1,774,210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316" w:type="dxa"/>
            <w:tcBorders/>
            <w:shd w:fill="CCEEFF" w:val="clear"/>
            <w:tcMar>
              <w:bottom w:w="0" w:type="dxa"/>
            </w:tcMar>
            <w:vAlign w:val="center"/>
          </w:tcPr>
          <w:p>
            <w:pPr>
              <w:pStyle w:val="TableContents"/>
              <w:bidi w:val="0"/>
              <w:spacing w:before="0" w:after="283"/>
              <w:jc w:val="right"/>
              <w:rPr/>
            </w:pPr>
            <w:r>
              <w:rPr/>
              <w:t>(1,774,210</w:t>
            </w:r>
          </w:p>
        </w:tc>
        <w:tc>
          <w:tcPr>
            <w:tcW w:w="11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includes supplemental data for the additions and deductions resulting in equity component of Non-PEO NEOs Average Compensation Actually Paid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271"/>
        <w:gridCol w:w="1179"/>
        <w:gridCol w:w="60"/>
        <w:gridCol w:w="60"/>
        <w:gridCol w:w="206"/>
        <w:gridCol w:w="1293"/>
        <w:gridCol w:w="95"/>
        <w:gridCol w:w="60"/>
        <w:gridCol w:w="274"/>
        <w:gridCol w:w="1193"/>
        <w:gridCol w:w="60"/>
        <w:gridCol w:w="60"/>
        <w:gridCol w:w="242"/>
        <w:gridCol w:w="1185"/>
        <w:gridCol w:w="95"/>
        <w:gridCol w:w="60"/>
        <w:gridCol w:w="260"/>
        <w:gridCol w:w="1188"/>
        <w:gridCol w:w="95"/>
        <w:gridCol w:w="60"/>
        <w:gridCol w:w="205"/>
        <w:gridCol w:w="1285"/>
        <w:gridCol w:w="114"/>
      </w:tblGrid>
      <w:tr>
        <w:trPr/>
        <w:tc>
          <w:tcPr>
            <w:tcW w:w="545" w:type="dxa"/>
            <w:tcBorders>
              <w:bottom w:val="single" w:sz="8"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125" w:name="xdx_489_eecd--AdjToCompAmt_hecd--Individ"/>
            <w:bookmarkEnd w:id="125"/>
          </w:p>
        </w:tc>
        <w:tc>
          <w:tcPr>
            <w:tcW w:w="1450" w:type="dxa"/>
            <w:gridSpan w:val="2"/>
            <w:tcBorders>
              <w:bottom w:val="single" w:sz="8" w:space="0" w:color="000000"/>
            </w:tcBorders>
            <w:vAlign w:val="center"/>
          </w:tcPr>
          <w:p>
            <w:pPr>
              <w:pStyle w:val="TableContents"/>
              <w:bidi w:val="0"/>
              <w:jc w:val="center"/>
              <w:rPr>
                <w:b/>
              </w:rPr>
            </w:pPr>
            <w:r>
              <w:rPr>
                <w:b/>
              </w:rPr>
              <w:t>Addition of</w:t>
            </w:r>
          </w:p>
          <w:p>
            <w:pPr>
              <w:pStyle w:val="TableContents"/>
              <w:bidi w:val="0"/>
              <w:jc w:val="center"/>
              <w:rPr>
                <w:b/>
              </w:rPr>
            </w:pPr>
            <w:r>
              <w:rPr>
                <w:b/>
              </w:rPr>
              <w:t>Average Fair</w:t>
            </w:r>
          </w:p>
          <w:p>
            <w:pPr>
              <w:pStyle w:val="TableContents"/>
              <w:bidi w:val="0"/>
              <w:jc w:val="center"/>
              <w:rPr>
                <w:b/>
              </w:rPr>
            </w:pPr>
            <w:r>
              <w:rPr>
                <w:b/>
              </w:rPr>
              <w:t>Value of</w:t>
            </w:r>
          </w:p>
          <w:p>
            <w:pPr>
              <w:pStyle w:val="TableContents"/>
              <w:bidi w:val="0"/>
              <w:jc w:val="center"/>
              <w:rPr>
                <w:b/>
              </w:rPr>
            </w:pPr>
            <w:r>
              <w:rPr>
                <w:b/>
              </w:rPr>
              <w:t>Current Year</w:t>
            </w:r>
          </w:p>
          <w:p>
            <w:pPr>
              <w:pStyle w:val="TableContents"/>
              <w:bidi w:val="0"/>
              <w:jc w:val="center"/>
              <w:rPr>
                <w:b/>
              </w:rPr>
            </w:pPr>
            <w:r>
              <w:rPr>
                <w:b/>
              </w:rPr>
              <w:t>Equity Awards</w:t>
            </w:r>
          </w:p>
          <w:p>
            <w:pPr>
              <w:pStyle w:val="TableContents"/>
              <w:bidi w:val="0"/>
              <w:jc w:val="center"/>
              <w:rPr>
                <w:b/>
              </w:rPr>
            </w:pPr>
            <w:r>
              <w:rPr>
                <w:b/>
              </w:rPr>
              <w:t>at Fiscal Year</w:t>
            </w:r>
          </w:p>
          <w:p>
            <w:pPr>
              <w:pStyle w:val="TableContents"/>
              <w:bidi w:val="0"/>
              <w:spacing w:before="0" w:after="283"/>
              <w:jc w:val="center"/>
              <w:rPr>
                <w:b/>
              </w:rPr>
            </w:pPr>
            <w:r>
              <w:rPr>
                <w:b/>
              </w:rPr>
              <w:t>End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6" w:name="xdx_48F_eecd--AdjToCompAmt_hecd--Individ"/>
            <w:bookmarkEnd w:id="126"/>
          </w:p>
        </w:tc>
        <w:tc>
          <w:tcPr>
            <w:tcW w:w="1499" w:type="dxa"/>
            <w:gridSpan w:val="2"/>
            <w:tcBorders>
              <w:bottom w:val="single" w:sz="8" w:space="0" w:color="000000"/>
            </w:tcBorders>
            <w:vAlign w:val="center"/>
          </w:tcPr>
          <w:p>
            <w:pPr>
              <w:pStyle w:val="TableContents"/>
              <w:bidi w:val="0"/>
              <w:jc w:val="center"/>
              <w:rPr>
                <w:b/>
              </w:rPr>
            </w:pPr>
            <w:r>
              <w:rPr>
                <w:b/>
              </w:rPr>
              <w:t>(Deductions)</w:t>
            </w:r>
          </w:p>
          <w:p>
            <w:pPr>
              <w:pStyle w:val="TableContents"/>
              <w:bidi w:val="0"/>
              <w:jc w:val="center"/>
              <w:rPr>
                <w:b/>
              </w:rPr>
            </w:pPr>
            <w:r>
              <w:rPr>
                <w:b/>
              </w:rPr>
              <w:t>Additions for</w:t>
            </w:r>
          </w:p>
          <w:p>
            <w:pPr>
              <w:pStyle w:val="TableContents"/>
              <w:bidi w:val="0"/>
              <w:jc w:val="center"/>
              <w:rPr>
                <w:b/>
              </w:rPr>
            </w:pPr>
            <w:r>
              <w:rPr>
                <w:b/>
              </w:rPr>
              <w:t>Average</w:t>
            </w:r>
          </w:p>
          <w:p>
            <w:pPr>
              <w:pStyle w:val="TableContents"/>
              <w:bidi w:val="0"/>
              <w:jc w:val="center"/>
              <w:rPr>
                <w:b/>
              </w:rPr>
            </w:pPr>
            <w:r>
              <w:rPr>
                <w:b/>
              </w:rPr>
              <w:t>Change in</w:t>
            </w:r>
          </w:p>
          <w:p>
            <w:pPr>
              <w:pStyle w:val="TableContents"/>
              <w:bidi w:val="0"/>
              <w:jc w:val="center"/>
              <w:rPr>
                <w:b/>
              </w:rPr>
            </w:pPr>
            <w:r>
              <w:rPr>
                <w:b/>
              </w:rPr>
              <w:t>Value of Prior</w:t>
            </w:r>
          </w:p>
          <w:p>
            <w:pPr>
              <w:pStyle w:val="TableContents"/>
              <w:bidi w:val="0"/>
              <w:jc w:val="center"/>
              <w:rPr>
                <w:b/>
              </w:rPr>
            </w:pPr>
            <w:r>
              <w:rPr>
                <w:b/>
              </w:rPr>
              <w:t>Years’ Awards</w:t>
            </w:r>
          </w:p>
          <w:p>
            <w:pPr>
              <w:pStyle w:val="TableContents"/>
              <w:bidi w:val="0"/>
              <w:jc w:val="center"/>
              <w:rPr>
                <w:b/>
              </w:rPr>
            </w:pPr>
            <w:r>
              <w:rPr>
                <w:b/>
              </w:rPr>
              <w:t>Unvested at</w:t>
            </w:r>
          </w:p>
          <w:p>
            <w:pPr>
              <w:pStyle w:val="TableContents"/>
              <w:bidi w:val="0"/>
              <w:jc w:val="center"/>
              <w:rPr>
                <w:b/>
              </w:rPr>
            </w:pPr>
            <w:r>
              <w:rPr>
                <w:b/>
              </w:rPr>
              <w:t>Fiscal Year</w:t>
            </w:r>
          </w:p>
          <w:p>
            <w:pPr>
              <w:pStyle w:val="TableContents"/>
              <w:bidi w:val="0"/>
              <w:spacing w:before="0" w:after="283"/>
              <w:jc w:val="center"/>
              <w:rPr>
                <w:b/>
              </w:rPr>
            </w:pPr>
            <w:r>
              <w:rPr>
                <w:b/>
              </w:rPr>
              <w:t>End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7" w:name="xdx_482_eecd--AdjToCompAmt_hecd--Individ"/>
            <w:bookmarkEnd w:id="127"/>
          </w:p>
        </w:tc>
        <w:tc>
          <w:tcPr>
            <w:tcW w:w="1467" w:type="dxa"/>
            <w:gridSpan w:val="2"/>
            <w:tcBorders>
              <w:bottom w:val="single" w:sz="8" w:space="0" w:color="000000"/>
            </w:tcBorders>
            <w:vAlign w:val="center"/>
          </w:tcPr>
          <w:p>
            <w:pPr>
              <w:pStyle w:val="TableContents"/>
              <w:bidi w:val="0"/>
              <w:jc w:val="center"/>
              <w:rPr>
                <w:b/>
              </w:rPr>
            </w:pPr>
            <w:r>
              <w:rPr>
                <w:b/>
              </w:rPr>
              <w:t>Additions of</w:t>
            </w:r>
          </w:p>
          <w:p>
            <w:pPr>
              <w:pStyle w:val="TableContents"/>
              <w:bidi w:val="0"/>
              <w:jc w:val="center"/>
              <w:rPr>
                <w:b/>
              </w:rPr>
            </w:pPr>
            <w:r>
              <w:rPr>
                <w:b/>
              </w:rPr>
              <w:t>Average Fair</w:t>
            </w:r>
          </w:p>
          <w:p>
            <w:pPr>
              <w:pStyle w:val="TableContents"/>
              <w:bidi w:val="0"/>
              <w:jc w:val="center"/>
              <w:rPr>
                <w:b/>
              </w:rPr>
            </w:pPr>
            <w:r>
              <w:rPr>
                <w:b/>
              </w:rPr>
              <w:t>Value, as of the</w:t>
            </w:r>
          </w:p>
          <w:p>
            <w:pPr>
              <w:pStyle w:val="TableContents"/>
              <w:bidi w:val="0"/>
              <w:jc w:val="center"/>
              <w:rPr>
                <w:b/>
              </w:rPr>
            </w:pPr>
            <w:r>
              <w:rPr>
                <w:b/>
              </w:rPr>
              <w:t>Vesting Date,</w:t>
            </w:r>
          </w:p>
          <w:p>
            <w:pPr>
              <w:pStyle w:val="TableContents"/>
              <w:bidi w:val="0"/>
              <w:jc w:val="center"/>
              <w:rPr>
                <w:b/>
              </w:rPr>
            </w:pPr>
            <w:r>
              <w:rPr>
                <w:b/>
              </w:rPr>
              <w:t>of Awards that</w:t>
            </w:r>
          </w:p>
          <w:p>
            <w:pPr>
              <w:pStyle w:val="TableContents"/>
              <w:bidi w:val="0"/>
              <w:jc w:val="center"/>
              <w:rPr>
                <w:b/>
              </w:rPr>
            </w:pPr>
            <w:r>
              <w:rPr>
                <w:b/>
              </w:rPr>
              <w:t>were Granted</w:t>
            </w:r>
          </w:p>
          <w:p>
            <w:pPr>
              <w:pStyle w:val="TableContents"/>
              <w:bidi w:val="0"/>
              <w:jc w:val="center"/>
              <w:rPr>
                <w:b/>
              </w:rPr>
            </w:pPr>
            <w:r>
              <w:rPr>
                <w:b/>
              </w:rPr>
              <w:t>and Vested in</w:t>
            </w:r>
          </w:p>
          <w:p>
            <w:pPr>
              <w:pStyle w:val="TableContents"/>
              <w:bidi w:val="0"/>
              <w:spacing w:before="0" w:after="283"/>
              <w:jc w:val="center"/>
              <w:rPr>
                <w:b/>
              </w:rPr>
            </w:pPr>
            <w:r>
              <w:rPr>
                <w:b/>
              </w:rPr>
              <w:t>the Same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8" w:name="xdx_48F_eecd--AdjToCompAmt_hecd--Individ"/>
            <w:bookmarkEnd w:id="128"/>
          </w:p>
        </w:tc>
        <w:tc>
          <w:tcPr>
            <w:tcW w:w="1427" w:type="dxa"/>
            <w:gridSpan w:val="2"/>
            <w:tcBorders>
              <w:bottom w:val="single" w:sz="8" w:space="0" w:color="000000"/>
            </w:tcBorders>
            <w:vAlign w:val="center"/>
          </w:tcPr>
          <w:p>
            <w:pPr>
              <w:pStyle w:val="TableContents"/>
              <w:bidi w:val="0"/>
              <w:jc w:val="center"/>
              <w:rPr>
                <w:b/>
              </w:rPr>
            </w:pPr>
            <w:r>
              <w:rPr>
                <w:b/>
              </w:rPr>
              <w:t>Additions</w:t>
            </w:r>
          </w:p>
          <w:p>
            <w:pPr>
              <w:pStyle w:val="TableContents"/>
              <w:bidi w:val="0"/>
              <w:jc w:val="center"/>
              <w:rPr>
                <w:b/>
              </w:rPr>
            </w:pPr>
            <w:r>
              <w:rPr>
                <w:b/>
              </w:rPr>
              <w:t>(Deductions)</w:t>
            </w:r>
          </w:p>
          <w:p>
            <w:pPr>
              <w:pStyle w:val="TableContents"/>
              <w:bidi w:val="0"/>
              <w:jc w:val="center"/>
              <w:rPr>
                <w:b/>
              </w:rPr>
            </w:pPr>
            <w:r>
              <w:rPr>
                <w:b/>
              </w:rPr>
              <w:t>for Average</w:t>
            </w:r>
          </w:p>
          <w:p>
            <w:pPr>
              <w:pStyle w:val="TableContents"/>
              <w:bidi w:val="0"/>
              <w:jc w:val="center"/>
              <w:rPr>
                <w:b/>
              </w:rPr>
            </w:pPr>
            <w:r>
              <w:rPr>
                <w:b/>
              </w:rPr>
              <w:t>Change in</w:t>
            </w:r>
          </w:p>
          <w:p>
            <w:pPr>
              <w:pStyle w:val="TableContents"/>
              <w:bidi w:val="0"/>
              <w:jc w:val="center"/>
              <w:rPr>
                <w:b/>
              </w:rPr>
            </w:pPr>
            <w:r>
              <w:rPr>
                <w:b/>
              </w:rPr>
              <w:t>Value of Prior</w:t>
            </w:r>
          </w:p>
          <w:p>
            <w:pPr>
              <w:pStyle w:val="TableContents"/>
              <w:bidi w:val="0"/>
              <w:jc w:val="center"/>
              <w:rPr>
                <w:b/>
              </w:rPr>
            </w:pPr>
            <w:r>
              <w:rPr>
                <w:b/>
              </w:rPr>
              <w:t>Years’</w:t>
            </w:r>
          </w:p>
          <w:p>
            <w:pPr>
              <w:pStyle w:val="TableContents"/>
              <w:bidi w:val="0"/>
              <w:jc w:val="center"/>
              <w:rPr>
                <w:b/>
              </w:rPr>
            </w:pPr>
            <w:r>
              <w:rPr>
                <w:b/>
              </w:rPr>
              <w:t>Awards That</w:t>
            </w:r>
          </w:p>
          <w:p>
            <w:pPr>
              <w:pStyle w:val="TableContents"/>
              <w:bidi w:val="0"/>
              <w:jc w:val="center"/>
              <w:rPr>
                <w:b/>
              </w:rPr>
            </w:pPr>
            <w:r>
              <w:rPr>
                <w:b/>
              </w:rPr>
              <w:t>Vested in</w:t>
            </w:r>
          </w:p>
          <w:p>
            <w:pPr>
              <w:pStyle w:val="TableContents"/>
              <w:bidi w:val="0"/>
              <w:spacing w:before="0" w:after="283"/>
              <w:jc w:val="center"/>
              <w:rPr>
                <w:b/>
              </w:rPr>
            </w:pPr>
            <w:r>
              <w:rPr>
                <w:b/>
              </w:rPr>
              <w:t>Fiscal Year</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9" w:name="xdx_484_eecd--AdjToCompAmt_hecd--Individ"/>
            <w:bookmarkEnd w:id="129"/>
          </w:p>
        </w:tc>
        <w:tc>
          <w:tcPr>
            <w:tcW w:w="1448" w:type="dxa"/>
            <w:gridSpan w:val="2"/>
            <w:tcBorders>
              <w:bottom w:val="single" w:sz="8" w:space="0" w:color="000000"/>
            </w:tcBorders>
            <w:vAlign w:val="center"/>
          </w:tcPr>
          <w:p>
            <w:pPr>
              <w:pStyle w:val="TableContents"/>
              <w:bidi w:val="0"/>
              <w:jc w:val="center"/>
              <w:rPr>
                <w:b/>
              </w:rPr>
            </w:pPr>
            <w:r>
              <w:rPr>
                <w:b/>
              </w:rPr>
              <w:t>Deductions:</w:t>
            </w:r>
          </w:p>
          <w:p>
            <w:pPr>
              <w:pStyle w:val="TableContents"/>
              <w:bidi w:val="0"/>
              <w:jc w:val="center"/>
              <w:rPr>
                <w:b/>
              </w:rPr>
            </w:pPr>
            <w:r>
              <w:rPr>
                <w:b/>
              </w:rPr>
              <w:t>Year End Fair</w:t>
            </w:r>
          </w:p>
          <w:p>
            <w:pPr>
              <w:pStyle w:val="TableContents"/>
              <w:bidi w:val="0"/>
              <w:jc w:val="center"/>
              <w:rPr>
                <w:b/>
              </w:rPr>
            </w:pPr>
            <w:r>
              <w:rPr>
                <w:b/>
              </w:rPr>
              <w:t>Value of</w:t>
            </w:r>
          </w:p>
          <w:p>
            <w:pPr>
              <w:pStyle w:val="TableContents"/>
              <w:bidi w:val="0"/>
              <w:jc w:val="center"/>
              <w:rPr>
                <w:b/>
              </w:rPr>
            </w:pPr>
            <w:r>
              <w:rPr>
                <w:b/>
              </w:rPr>
              <w:t>Equity</w:t>
            </w:r>
          </w:p>
          <w:p>
            <w:pPr>
              <w:pStyle w:val="TableContents"/>
              <w:bidi w:val="0"/>
              <w:jc w:val="center"/>
              <w:rPr>
                <w:b/>
              </w:rPr>
            </w:pPr>
            <w:r>
              <w:rPr>
                <w:b/>
              </w:rPr>
              <w:t>Awards</w:t>
            </w:r>
          </w:p>
          <w:p>
            <w:pPr>
              <w:pStyle w:val="TableContents"/>
              <w:bidi w:val="0"/>
              <w:jc w:val="center"/>
              <w:rPr>
                <w:b/>
              </w:rPr>
            </w:pPr>
            <w:r>
              <w:rPr>
                <w:b/>
              </w:rPr>
              <w:t>Granted in</w:t>
            </w:r>
          </w:p>
          <w:p>
            <w:pPr>
              <w:pStyle w:val="TableContents"/>
              <w:bidi w:val="0"/>
              <w:jc w:val="center"/>
              <w:rPr>
                <w:b/>
              </w:rPr>
            </w:pPr>
            <w:r>
              <w:rPr>
                <w:b/>
              </w:rPr>
              <w:t>Prior Years</w:t>
            </w:r>
          </w:p>
          <w:p>
            <w:pPr>
              <w:pStyle w:val="TableContents"/>
              <w:bidi w:val="0"/>
              <w:jc w:val="center"/>
              <w:rPr>
                <w:b/>
              </w:rPr>
            </w:pPr>
            <w:r>
              <w:rPr>
                <w:b/>
              </w:rPr>
              <w:t>that Failed to</w:t>
            </w:r>
          </w:p>
          <w:p>
            <w:pPr>
              <w:pStyle w:val="TableContents"/>
              <w:bidi w:val="0"/>
              <w:jc w:val="center"/>
              <w:rPr>
                <w:b/>
              </w:rPr>
            </w:pPr>
            <w:r>
              <w:rPr>
                <w:b/>
              </w:rPr>
              <w:t>Meet Vesting</w:t>
            </w:r>
          </w:p>
          <w:p>
            <w:pPr>
              <w:pStyle w:val="TableContents"/>
              <w:bidi w:val="0"/>
              <w:spacing w:before="0" w:after="283"/>
              <w:jc w:val="center"/>
              <w:rPr>
                <w:b/>
              </w:rPr>
            </w:pPr>
            <w:r>
              <w:rPr>
                <w:b/>
              </w:rPr>
              <w:t>Conditions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30" w:name="xdx_48F_eecd--AdjToCompAmt_hecd--Individ"/>
            <w:bookmarkEnd w:id="130"/>
          </w:p>
        </w:tc>
        <w:tc>
          <w:tcPr>
            <w:tcW w:w="1490" w:type="dxa"/>
            <w:gridSpan w:val="2"/>
            <w:tcBorders>
              <w:bottom w:val="single" w:sz="8" w:space="0" w:color="000000"/>
            </w:tcBorders>
            <w:vAlign w:val="center"/>
          </w:tcPr>
          <w:p>
            <w:pPr>
              <w:pStyle w:val="TableContents"/>
              <w:bidi w:val="0"/>
              <w:jc w:val="center"/>
              <w:rPr>
                <w:b/>
              </w:rPr>
            </w:pPr>
            <w:r>
              <w:rPr>
                <w:b/>
              </w:rPr>
              <w:t>Average</w:t>
            </w:r>
          </w:p>
          <w:p>
            <w:pPr>
              <w:pStyle w:val="TableContents"/>
              <w:bidi w:val="0"/>
              <w:jc w:val="center"/>
              <w:rPr>
                <w:b/>
              </w:rPr>
            </w:pPr>
            <w:r>
              <w:rPr>
                <w:b/>
              </w:rPr>
              <w:t>Equity Value</w:t>
            </w:r>
          </w:p>
          <w:p>
            <w:pPr>
              <w:pStyle w:val="TableContents"/>
              <w:bidi w:val="0"/>
              <w:jc w:val="center"/>
              <w:rPr>
                <w:b/>
              </w:rPr>
            </w:pPr>
            <w:r>
              <w:rPr>
                <w:b/>
              </w:rPr>
              <w:t>Included in</w:t>
            </w:r>
          </w:p>
          <w:p>
            <w:pPr>
              <w:pStyle w:val="TableContents"/>
              <w:bidi w:val="0"/>
              <w:jc w:val="center"/>
              <w:rPr>
                <w:b/>
              </w:rPr>
            </w:pPr>
            <w:r>
              <w:rPr>
                <w:b/>
              </w:rPr>
              <w:t>Compensation</w:t>
            </w:r>
          </w:p>
          <w:p>
            <w:pPr>
              <w:pStyle w:val="TableContents"/>
              <w:bidi w:val="0"/>
              <w:spacing w:before="0" w:after="283"/>
              <w:jc w:val="center"/>
              <w:rPr>
                <w:b/>
              </w:rPr>
            </w:pPr>
            <w:r>
              <w:rPr>
                <w:b/>
              </w:rPr>
              <w:t>Actually Paid</w:t>
            </w:r>
          </w:p>
        </w:tc>
        <w:tc>
          <w:tcPr>
            <w:tcW w:w="114" w:type="dxa"/>
            <w:tcBorders/>
            <w:tcMar>
              <w:bottom w:w="0" w:type="dxa"/>
            </w:tcMar>
            <w:vAlign w:val="center"/>
          </w:tcPr>
          <w:p>
            <w:pPr>
              <w:pStyle w:val="TableContents"/>
              <w:bidi w:val="0"/>
              <w:spacing w:before="0" w:after="283"/>
              <w:jc w:val="left"/>
              <w:rPr/>
            </w:pPr>
            <w:r>
              <w:rPr/>
              <w:t> </w:t>
            </w:r>
            <w:bookmarkStart w:id="131" w:name="xdx_411_20250101__20251231_zmrf0MhdrOS9"/>
            <w:bookmarkEnd w:id="131"/>
          </w:p>
        </w:tc>
      </w:tr>
      <w:tr>
        <w:trPr/>
        <w:tc>
          <w:tcPr>
            <w:tcW w:w="54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 </w:t>
            </w:r>
            <w:bookmarkStart w:id="132" w:name="xdx_41E_20240101__20241231_zjkUYc9fbKRk"/>
            <w:bookmarkEnd w:id="132"/>
          </w:p>
        </w:tc>
      </w:tr>
      <w:tr>
        <w:trPr/>
        <w:tc>
          <w:tcPr>
            <w:tcW w:w="545"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117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9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w:t>
            </w:r>
          </w:p>
        </w:tc>
        <w:tc>
          <w:tcPr>
            <w:tcW w:w="1185" w:type="dxa"/>
            <w:tcBorders/>
            <w:shd w:fill="FFFFFF" w:val="clear"/>
            <w:tcMar>
              <w:bottom w:w="0" w:type="dxa"/>
            </w:tcMar>
            <w:vAlign w:val="center"/>
          </w:tcPr>
          <w:p>
            <w:pPr>
              <w:pStyle w:val="TableContents"/>
              <w:bidi w:val="0"/>
              <w:spacing w:before="0" w:after="283"/>
              <w:jc w:val="right"/>
              <w:rPr/>
            </w:pPr>
            <w:r>
              <w:rPr/>
              <w:t>25,376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w:t>
            </w:r>
          </w:p>
        </w:tc>
        <w:tc>
          <w:tcPr>
            <w:tcW w:w="1188" w:type="dxa"/>
            <w:tcBorders/>
            <w:shd w:fill="FFFFFF" w:val="clear"/>
            <w:tcMar>
              <w:bottom w:w="0" w:type="dxa"/>
            </w:tcMar>
            <w:vAlign w:val="center"/>
          </w:tcPr>
          <w:p>
            <w:pPr>
              <w:pStyle w:val="TableContents"/>
              <w:bidi w:val="0"/>
              <w:spacing w:before="0" w:after="283"/>
              <w:jc w:val="right"/>
              <w:rPr/>
            </w:pPr>
            <w:r>
              <w:rPr/>
              <w:t>(4,500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w:t>
            </w:r>
          </w:p>
        </w:tc>
        <w:tc>
          <w:tcPr>
            <w:tcW w:w="1285" w:type="dxa"/>
            <w:tcBorders/>
            <w:shd w:fill="FFFFFF" w:val="clear"/>
            <w:tcMar>
              <w:bottom w:w="0" w:type="dxa"/>
            </w:tcMar>
            <w:vAlign w:val="center"/>
          </w:tcPr>
          <w:p>
            <w:pPr>
              <w:pStyle w:val="TableContents"/>
              <w:bidi w:val="0"/>
              <w:spacing w:before="0" w:after="283"/>
              <w:jc w:val="right"/>
              <w:rPr/>
            </w:pPr>
            <w:r>
              <w:rPr/>
              <w:t>20,876</w:t>
            </w:r>
          </w:p>
        </w:tc>
        <w:tc>
          <w:tcPr>
            <w:tcW w:w="114" w:type="dxa"/>
            <w:tcBorders/>
            <w:shd w:fill="FFFFFF" w:val="clear"/>
            <w:tcMar>
              <w:bottom w:w="0" w:type="dxa"/>
            </w:tcMar>
            <w:vAlign w:val="center"/>
          </w:tcPr>
          <w:p>
            <w:pPr>
              <w:pStyle w:val="TableContents"/>
              <w:bidi w:val="0"/>
              <w:spacing w:before="0" w:after="283"/>
              <w:jc w:val="left"/>
              <w:rPr/>
            </w:pPr>
            <w:r>
              <w:rPr/>
              <w:t> </w:t>
            </w:r>
            <w:bookmarkStart w:id="133" w:name="xdx_416_20230101__20231231_zHXLLDdd43md"/>
            <w:bookmarkEnd w:id="133"/>
          </w:p>
        </w:tc>
      </w:tr>
      <w:tr>
        <w:trPr/>
        <w:tc>
          <w:tcPr>
            <w:tcW w:w="545"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w:t>
            </w:r>
          </w:p>
        </w:tc>
        <w:tc>
          <w:tcPr>
            <w:tcW w:w="1293" w:type="dxa"/>
            <w:tcBorders/>
            <w:shd w:fill="CCEEFF" w:val="clear"/>
            <w:tcMar>
              <w:bottom w:w="0" w:type="dxa"/>
            </w:tcMar>
            <w:vAlign w:val="center"/>
          </w:tcPr>
          <w:p>
            <w:pPr>
              <w:pStyle w:val="TableContents"/>
              <w:bidi w:val="0"/>
              <w:spacing w:before="0" w:after="283"/>
              <w:jc w:val="right"/>
              <w:rPr/>
            </w:pPr>
            <w:r>
              <w:rPr/>
              <w:t>(865,931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(571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1285" w:type="dxa"/>
            <w:tcBorders/>
            <w:shd w:fill="CCEEFF" w:val="clear"/>
            <w:tcMar>
              <w:bottom w:w="0" w:type="dxa"/>
            </w:tcMar>
            <w:vAlign w:val="center"/>
          </w:tcPr>
          <w:p>
            <w:pPr>
              <w:pStyle w:val="TableContents"/>
              <w:bidi w:val="0"/>
              <w:spacing w:before="0" w:after="283"/>
              <w:jc w:val="right"/>
              <w:rPr/>
            </w:pPr>
            <w:r>
              <w:rPr/>
              <w:t>(866,502</w:t>
            </w:r>
          </w:p>
        </w:tc>
        <w:tc>
          <w:tcPr>
            <w:tcW w:w="11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34" w:name="xdx_8AB_zrdR6Lay4LMk"/>
      <w:bookmarkEnd w:id="13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between Compensation Actually Paid and Performance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charts below show the relationship between the Compensation Actually Paid (“CAP”) to the PEOs (as a combined total of the amounts for all PEOs during the year) and the Average Compensation Actually Paid to the Non-PEO NEOs in fiscal 2025, 2024 and 2023 to each of (1) Net loss and (2) total shareholder return (“TSR”). The aggregate PEO CAP includes amounts for Hightower in 2023, Hightower and Gallagher in 2024 and Matina and Gallagher in 2025. The TSR measurement period began on March 14, 2024, the date that the Company emerged from bankruptcy.</w:t>
      </w:r>
    </w:p>
    <w:p>
      <w:pPr>
        <w:pStyle w:val="TextBody"/>
        <w:bidi w:val="0"/>
        <w:spacing w:before="0" w:after="0"/>
        <w:ind w:left="0" w:right="0" w:hanging="0"/>
        <w:jc w:val="center"/>
        <w:rPr>
          <w:caps w:val="false"/>
          <w:smallCaps w:val="false"/>
        </w:rPr>
      </w:pPr>
      <w:bookmarkStart w:id="135" w:name="xdx_89C_eecd--CompActuallyPaidVsNetIncom"/>
      <w:bookmarkEnd w:id="135"/>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229600" cy="4782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4782185"/>
                    </a:xfrm>
                    <a:prstGeom prst="rect">
                      <a:avLst/>
                    </a:prstGeom>
                  </pic:spPr>
                </pic:pic>
              </a:graphicData>
            </a:graphic>
          </wp:inline>
        </w:drawing>
      </w:r>
    </w:p>
    <w:p>
      <w:pPr>
        <w:pStyle w:val="TextBody"/>
        <w:bidi w:val="0"/>
        <w:spacing w:before="0" w:after="0"/>
        <w:ind w:left="0" w:right="0" w:hanging="0"/>
        <w:jc w:val="center"/>
        <w:rPr>
          <w:caps w:val="false"/>
          <w:smallCaps w:val="false"/>
        </w:rPr>
      </w:pPr>
      <w:bookmarkStart w:id="136" w:name="xdx_8A0_zqDHXpZ8w6x5"/>
      <w:bookmarkEnd w:id="136"/>
      <w:r>
        <w:rPr>
          <w:caps w:val="false"/>
          <w:smallCaps w:val="false"/>
        </w:rPr>
        <w:t> </w:t>
      </w:r>
    </w:p>
    <w:p>
      <w:pPr>
        <w:pStyle w:val="TextBody"/>
        <w:bidi w:val="0"/>
        <w:spacing w:before="0" w:after="0"/>
        <w:ind w:left="0" w:right="0" w:hanging="0"/>
        <w:jc w:val="center"/>
        <w:rPr>
          <w:caps w:val="false"/>
          <w:smallCaps w:val="false"/>
        </w:rPr>
      </w:pPr>
      <w:bookmarkStart w:id="137" w:name="xdx_894_eecd--CompActuallyPaidVsTotalSha"/>
      <w:bookmarkEnd w:id="137"/>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572500" cy="5495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5495925"/>
                    </a:xfrm>
                    <a:prstGeom prst="rect">
                      <a:avLst/>
                    </a:prstGeom>
                  </pic:spPr>
                </pic:pic>
              </a:graphicData>
            </a:graphic>
          </wp:inline>
        </w:drawing>
      </w:r>
    </w:p>
    <w:p>
      <w:pPr>
        <w:pStyle w:val="TextBody"/>
        <w:bidi w:val="0"/>
        <w:spacing w:before="0" w:after="0"/>
        <w:ind w:left="0" w:right="0" w:hanging="0"/>
        <w:jc w:val="center"/>
        <w:rPr>
          <w:caps w:val="false"/>
          <w:smallCaps w:val="false"/>
        </w:rPr>
      </w:pPr>
      <w:bookmarkStart w:id="138" w:name="xdx_8AA_zDqDQhxVsWue"/>
      <w:bookmarkEnd w:id="13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9" w:name="rma_012"/>
      <w:bookmarkEnd w:id="139"/>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December 31, 2025, regarding the Company’s equity compensation plan. The only plan pursuant to which the Company may currently make additional equity grants is the Equity Incentive Plan.</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8"/>
        <w:gridCol w:w="60"/>
        <w:gridCol w:w="102"/>
        <w:gridCol w:w="1676"/>
        <w:gridCol w:w="60"/>
        <w:gridCol w:w="60"/>
        <w:gridCol w:w="136"/>
        <w:gridCol w:w="1865"/>
        <w:gridCol w:w="60"/>
        <w:gridCol w:w="60"/>
        <w:gridCol w:w="103"/>
        <w:gridCol w:w="1703"/>
        <w:gridCol w:w="302"/>
      </w:tblGrid>
      <w:tr>
        <w:trPr/>
        <w:tc>
          <w:tcPr>
            <w:tcW w:w="4018"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778" w:type="dxa"/>
            <w:gridSpan w:val="2"/>
            <w:tcBorders>
              <w:bottom w:val="single" w:sz="8" w:space="0" w:color="000000"/>
            </w:tcBorders>
            <w:vAlign w:val="center"/>
          </w:tcPr>
          <w:p>
            <w:pPr>
              <w:pStyle w:val="TableContents"/>
              <w:bidi w:val="0"/>
              <w:jc w:val="center"/>
              <w:rPr>
                <w:b/>
              </w:rPr>
            </w:pPr>
            <w:r>
              <w:rPr>
                <w:b/>
              </w:rPr>
              <w:t>Number of</w:t>
            </w:r>
          </w:p>
          <w:p>
            <w:pPr>
              <w:pStyle w:val="TableContents"/>
              <w:bidi w:val="0"/>
              <w:jc w:val="center"/>
              <w:rPr>
                <w:b/>
              </w:rPr>
            </w:pPr>
            <w:r>
              <w:rPr>
                <w:b/>
              </w:rPr>
              <w:t>securities to be</w:t>
            </w:r>
          </w:p>
          <w:p>
            <w:pPr>
              <w:pStyle w:val="TableContents"/>
              <w:bidi w:val="0"/>
              <w:jc w:val="center"/>
              <w:rPr>
                <w:b/>
              </w:rPr>
            </w:pPr>
            <w:r>
              <w:rPr>
                <w:b/>
              </w:rPr>
              <w:t>issued upon exercise</w:t>
            </w:r>
          </w:p>
          <w:p>
            <w:pPr>
              <w:pStyle w:val="TableContents"/>
              <w:bidi w:val="0"/>
              <w:jc w:val="center"/>
              <w:rPr>
                <w:b/>
              </w:rPr>
            </w:pPr>
            <w:r>
              <w:rPr>
                <w:b/>
              </w:rPr>
              <w:t>of outstanding</w:t>
            </w:r>
          </w:p>
          <w:p>
            <w:pPr>
              <w:pStyle w:val="TableContents"/>
              <w:bidi w:val="0"/>
              <w:jc w:val="center"/>
              <w:rPr>
                <w:b/>
              </w:rPr>
            </w:pPr>
            <w:r>
              <w:rPr>
                <w:b/>
              </w:rPr>
              <w:t>options, warrants</w:t>
            </w:r>
          </w:p>
          <w:p>
            <w:pPr>
              <w:pStyle w:val="TableContents"/>
              <w:bidi w:val="0"/>
              <w:spacing w:before="0" w:after="283"/>
              <w:jc w:val="center"/>
              <w:rPr>
                <w:b/>
              </w:rPr>
            </w:pPr>
            <w:r>
              <w:rPr>
                <w:b/>
              </w:rPr>
              <w:t>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1" w:type="dxa"/>
            <w:gridSpan w:val="2"/>
            <w:tcBorders>
              <w:bottom w:val="single" w:sz="8" w:space="0" w:color="000000"/>
            </w:tcBorders>
            <w:vAlign w:val="center"/>
          </w:tcPr>
          <w:p>
            <w:pPr>
              <w:pStyle w:val="TableContents"/>
              <w:bidi w:val="0"/>
              <w:jc w:val="center"/>
              <w:rPr>
                <w:b/>
              </w:rPr>
            </w:pPr>
            <w:r>
              <w:rPr>
                <w:b/>
              </w:rPr>
              <w:t>Weighted-average</w:t>
            </w:r>
          </w:p>
          <w:p>
            <w:pPr>
              <w:pStyle w:val="TableContents"/>
              <w:bidi w:val="0"/>
              <w:jc w:val="center"/>
              <w:rPr>
                <w:b/>
              </w:rPr>
            </w:pPr>
            <w:r>
              <w:rPr>
                <w:b/>
              </w:rPr>
              <w:t>exercise price of</w:t>
            </w:r>
          </w:p>
          <w:p>
            <w:pPr>
              <w:pStyle w:val="TableContents"/>
              <w:bidi w:val="0"/>
              <w:jc w:val="center"/>
              <w:rPr>
                <w:b/>
              </w:rPr>
            </w:pPr>
            <w:r>
              <w:rPr>
                <w:b/>
              </w:rPr>
              <w:t>outstanding options,</w:t>
            </w:r>
          </w:p>
          <w:p>
            <w:pPr>
              <w:pStyle w:val="TableContents"/>
              <w:bidi w:val="0"/>
              <w:spacing w:before="0" w:after="283"/>
              <w:jc w:val="center"/>
              <w:rPr>
                <w:b/>
              </w:rPr>
            </w:pPr>
            <w:r>
              <w:rPr>
                <w:b/>
              </w:rPr>
              <w:t>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6" w:type="dxa"/>
            <w:gridSpan w:val="2"/>
            <w:tcBorders>
              <w:bottom w:val="single" w:sz="8" w:space="0" w:color="000000"/>
            </w:tcBorders>
            <w:vAlign w:val="center"/>
          </w:tcPr>
          <w:p>
            <w:pPr>
              <w:pStyle w:val="TableContents"/>
              <w:bidi w:val="0"/>
              <w:jc w:val="center"/>
              <w:rPr>
                <w:b/>
              </w:rPr>
            </w:pPr>
            <w:r>
              <w:rPr>
                <w:b/>
              </w:rPr>
              <w:t>Number of</w:t>
            </w:r>
          </w:p>
          <w:p>
            <w:pPr>
              <w:pStyle w:val="TableContents"/>
              <w:bidi w:val="0"/>
              <w:jc w:val="center"/>
              <w:rPr>
                <w:b/>
              </w:rPr>
            </w:pPr>
            <w:r>
              <w:rPr>
                <w:b/>
              </w:rPr>
              <w:t>securities</w:t>
            </w:r>
          </w:p>
          <w:p>
            <w:pPr>
              <w:pStyle w:val="TableContents"/>
              <w:bidi w:val="0"/>
              <w:jc w:val="center"/>
              <w:rPr>
                <w:b/>
              </w:rPr>
            </w:pPr>
            <w:r>
              <w:rPr>
                <w:b/>
              </w:rPr>
              <w:t>remaining available</w:t>
            </w:r>
          </w:p>
          <w:p>
            <w:pPr>
              <w:pStyle w:val="TableContents"/>
              <w:bidi w:val="0"/>
              <w:jc w:val="center"/>
              <w:rPr>
                <w:b/>
              </w:rPr>
            </w:pPr>
            <w:r>
              <w:rPr>
                <w:b/>
              </w:rPr>
              <w:t>for future issuance</w:t>
            </w:r>
          </w:p>
          <w:p>
            <w:pPr>
              <w:pStyle w:val="TableContents"/>
              <w:bidi w:val="0"/>
              <w:jc w:val="center"/>
              <w:rPr>
                <w:b/>
              </w:rPr>
            </w:pPr>
            <w:r>
              <w:rPr>
                <w:b/>
              </w:rPr>
              <w:t>under equity</w:t>
            </w:r>
          </w:p>
          <w:p>
            <w:pPr>
              <w:pStyle w:val="TableContents"/>
              <w:bidi w:val="0"/>
              <w:jc w:val="center"/>
              <w:rPr>
                <w:b/>
              </w:rPr>
            </w:pPr>
            <w:r>
              <w:rPr>
                <w:b/>
              </w:rPr>
              <w:t>compensation plans</w:t>
            </w:r>
          </w:p>
          <w:p>
            <w:pPr>
              <w:pStyle w:val="TableContents"/>
              <w:bidi w:val="0"/>
              <w:jc w:val="center"/>
              <w:rPr>
                <w:b/>
              </w:rPr>
            </w:pPr>
            <w:r>
              <w:rPr>
                <w:b/>
              </w:rPr>
              <w:t>(excluding</w:t>
            </w:r>
          </w:p>
          <w:p>
            <w:pPr>
              <w:pStyle w:val="TableContents"/>
              <w:bidi w:val="0"/>
              <w:jc w:val="center"/>
              <w:rPr>
                <w:b/>
              </w:rPr>
            </w:pPr>
            <w:r>
              <w:rPr>
                <w:b/>
              </w:rPr>
              <w:t>securities reflected</w:t>
            </w:r>
          </w:p>
          <w:p>
            <w:pPr>
              <w:pStyle w:val="TableContents"/>
              <w:bidi w:val="0"/>
              <w:spacing w:before="0" w:after="283"/>
              <w:jc w:val="center"/>
              <w:rPr>
                <w:b/>
              </w:rPr>
            </w:pPr>
            <w:r>
              <w:rPr>
                <w:b/>
              </w:rPr>
              <w:t>in column (a))</w:t>
            </w:r>
          </w:p>
        </w:tc>
        <w:tc>
          <w:tcPr>
            <w:tcW w:w="302" w:type="dxa"/>
            <w:tcBorders/>
            <w:tcMar>
              <w:bottom w:w="0" w:type="dxa"/>
            </w:tcMar>
            <w:vAlign w:val="center"/>
          </w:tcPr>
          <w:p>
            <w:pPr>
              <w:pStyle w:val="TableContents"/>
              <w:bidi w:val="0"/>
              <w:spacing w:before="0" w:after="283"/>
              <w:jc w:val="left"/>
              <w:rPr/>
            </w:pPr>
            <w:r>
              <w:rPr/>
              <w:t> </w:t>
            </w:r>
          </w:p>
        </w:tc>
      </w:tr>
      <w:tr>
        <w:trPr/>
        <w:tc>
          <w:tcPr>
            <w:tcW w:w="4018" w:type="dxa"/>
            <w:tcBorders/>
            <w:shd w:fill="CCEEFF" w:val="clear"/>
            <w:tcMar>
              <w:bottom w:w="0" w:type="dxa"/>
            </w:tcMar>
            <w:vAlign w:val="center"/>
          </w:tcPr>
          <w:p>
            <w:pPr>
              <w:pStyle w:val="TableContents"/>
              <w:bidi w:val="0"/>
              <w:spacing w:before="0" w:after="283"/>
              <w:jc w:val="left"/>
              <w:rPr/>
            </w:pPr>
            <w:r>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76" w:type="dxa"/>
            <w:tcBorders/>
            <w:shd w:fill="CCEEFF" w:val="clear"/>
            <w:tcMar>
              <w:bottom w:w="0" w:type="dxa"/>
            </w:tcMar>
            <w:vAlign w:val="center"/>
          </w:tcPr>
          <w:p>
            <w:pPr>
              <w:pStyle w:val="TableContents"/>
              <w:bidi w:val="0"/>
              <w:spacing w:before="0" w:after="283"/>
              <w:jc w:val="right"/>
              <w:rPr/>
            </w:pPr>
            <w:r>
              <w:rPr/>
              <w:t>1,086,801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right"/>
              <w:rPr/>
            </w:pPr>
            <w:r>
              <w:rPr/>
              <w:t>1,325,253</w:t>
            </w:r>
          </w:p>
        </w:tc>
        <w:tc>
          <w:tcPr>
            <w:tcW w:w="302" w:type="dxa"/>
            <w:tcBorders/>
            <w:shd w:fill="CCEEFF" w:val="clear"/>
            <w:tcMar>
              <w:bottom w:w="0" w:type="dxa"/>
            </w:tcMar>
            <w:vAlign w:val="center"/>
          </w:tcPr>
          <w:p>
            <w:pPr>
              <w:pStyle w:val="TableContents"/>
              <w:bidi w:val="0"/>
              <w:spacing w:before="0" w:after="283"/>
              <w:jc w:val="left"/>
              <w:rPr/>
            </w:pPr>
            <w:r>
              <w:rPr/>
              <w:t> </w:t>
            </w:r>
          </w:p>
        </w:tc>
      </w:tr>
      <w:tr>
        <w:trPr/>
        <w:tc>
          <w:tcPr>
            <w:tcW w:w="4018" w:type="dxa"/>
            <w:tcBorders/>
            <w:shd w:fill="FFFFFF" w:val="clear"/>
            <w:tcMar>
              <w:bottom w:w="0" w:type="dxa"/>
            </w:tcMar>
            <w:vAlign w:val="center"/>
          </w:tcPr>
          <w:p>
            <w:pPr>
              <w:pStyle w:val="TableContents"/>
              <w:bidi w:val="0"/>
              <w:spacing w:before="0" w:after="283"/>
              <w:jc w:val="left"/>
              <w:rPr/>
            </w:pPr>
            <w:r>
              <w:rPr/>
              <w:t>Equity compensation plans not approved by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8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703" w:type="dxa"/>
            <w:tcBorders/>
            <w:shd w:fill="FFFFFF" w:val="clear"/>
            <w:tcMar>
              <w:bottom w:w="0" w:type="dxa"/>
            </w:tcMar>
            <w:vAlign w:val="center"/>
          </w:tcPr>
          <w:p>
            <w:pPr>
              <w:pStyle w:val="TableContents"/>
              <w:bidi w:val="0"/>
              <w:spacing w:before="0" w:after="283"/>
              <w:jc w:val="right"/>
              <w:rPr/>
            </w:pPr>
            <w:r>
              <w:rPr/>
              <w:t>775,110</w:t>
            </w:r>
          </w:p>
        </w:tc>
        <w:tc>
          <w:tcPr>
            <w:tcW w:w="302" w:type="dxa"/>
            <w:tcBorders/>
            <w:shd w:fill="FFFFFF" w:val="clear"/>
            <w:tcMar>
              <w:bottom w:w="0" w:type="dxa"/>
            </w:tcMar>
            <w:vAlign w:val="center"/>
          </w:tcPr>
          <w:p>
            <w:pPr>
              <w:pStyle w:val="TableContents"/>
              <w:bidi w:val="0"/>
              <w:spacing w:before="0" w:after="283"/>
              <w:jc w:val="left"/>
              <w:rPr/>
            </w:pPr>
            <w:r>
              <w:rPr/>
              <w:t> </w:t>
            </w:r>
            <w:r>
              <w:rPr>
                <w:position w:val="8"/>
                <w:sz w:val="19"/>
              </w:rPr>
              <w:t>(1)</w:t>
            </w:r>
          </w:p>
        </w:tc>
      </w:tr>
      <w:tr>
        <w:trPr/>
        <w:tc>
          <w:tcPr>
            <w:tcW w:w="4018"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76" w:type="dxa"/>
            <w:tcBorders/>
            <w:shd w:fill="CCEEFF" w:val="clear"/>
            <w:tcMar>
              <w:bottom w:w="0" w:type="dxa"/>
            </w:tcMar>
            <w:vAlign w:val="center"/>
          </w:tcPr>
          <w:p>
            <w:pPr>
              <w:pStyle w:val="TableContents"/>
              <w:bidi w:val="0"/>
              <w:spacing w:before="0" w:after="283"/>
              <w:jc w:val="right"/>
              <w:rPr/>
            </w:pPr>
            <w:r>
              <w:rPr/>
              <w:t>1,086,801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right"/>
              <w:rPr/>
            </w:pPr>
            <w:r>
              <w:rPr/>
              <w:t>2,100,363</w:t>
            </w:r>
          </w:p>
        </w:tc>
        <w:tc>
          <w:tcPr>
            <w:tcW w:w="302"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Plan, on March 14, 2024, the Board approved, adopted and ratified an amendment to the Equity Incentive Plan, as amended, to increase the number of shares of Class A common stock reserved for issuance thereunder by 775,110 shares from an aggregate of 2,224,890 shares to an aggregate of 3,000,000 shares (inclusive of the 358,224 shares underlying awards that were initially granted under the Lordstown Motors Corp.’s 2019 Equity Incentive Plan and converted into awards under the Equity Plan upon the closing of the Company’s business combination with Lordstown Motors Corp.)</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2025, the Company’s stockholders approved an amendment to the Equity Incentive Plan to increase the number of shares of Class A common stock reserved for awards under such plan by 1,000,000 shares.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0" w:name="rma_013"/>
      <w:bookmarkEnd w:id="140"/>
      <w:r>
        <w:rPr>
          <w:rFonts w:ascii="Times New Roman;Times;Serif" w:hAnsi="Times New Roman;Times;Serif"/>
          <w:b/>
          <w:i w:val="false"/>
          <w:caps w:val="false"/>
          <w:smallCaps w:val="false"/>
          <w:sz w:val="20"/>
        </w:rPr>
        <w:t>COMMUNICATIONS WITH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interested parties desiring to communicate with the Board of Directors regarding the Company may directly contact such directors by delivering such correspondence to such directors, or the entire Board, in care of the Secretary at Stark Novus Financial Inc.,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1" w:name="rma_014"/>
      <w:bookmarkEnd w:id="141"/>
      <w:r>
        <w:rPr>
          <w:rFonts w:ascii="Times New Roman;Times;Serif" w:hAnsi="Times New Roman;Times;Serif"/>
          <w:b/>
          <w:i w:val="false"/>
          <w:caps w:val="false"/>
          <w:smallCaps w:val="false"/>
          <w:sz w:val="20"/>
        </w:rPr>
        <w:t>STOCKHOLDER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submit proposals, including recommendations of director candidates, for inclusion in the proxy materials or meeting agenda for future stockholder meetings by following certain procedures outlined 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inclusion in the Company’s proxy materials</w:t>
      </w:r>
      <w:r>
        <w:rPr>
          <w:rFonts w:ascii="Times New Roman;Times;Serif" w:hAnsi="Times New Roman;Times;Serif"/>
          <w:b w:val="false"/>
          <w:i w:val="false"/>
          <w:caps w:val="false"/>
          <w:smallCaps w:val="false"/>
          <w:sz w:val="20"/>
        </w:rPr>
        <w:t> — If you wish to submit a stockholder proposal to be included in our proxy statement for the 2027 annual meeting of stockholders (the “2027 Annual Meeting”) pursuant to Rule 14a-8 of the Exchange Act, we must receive your written proposal on or before May 19, 2027. However, if the Company did not hold an annual meeting the previous year, or if the date of the 2027 Annual Meeting has been changed by more than 30 days from the date of the 2026 Annual Meeting, then the deadline is a reasonable time before the Company begins to print and send its proxy materials. Address the proposal to the Company’s Secretary at the address shown on the cover page of this proxy statement. The proposal must comply with Rule 14a-8, which lists the requirements for the inclusion of stockholder proposals in Company-sponsored proxy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brought at an annual meeting</w:t>
      </w:r>
      <w:r>
        <w:rPr>
          <w:rFonts w:ascii="Times New Roman;Times;Serif" w:hAnsi="Times New Roman;Times;Serif"/>
          <w:b w:val="false"/>
          <w:i w:val="false"/>
          <w:caps w:val="false"/>
          <w:smallCaps w:val="false"/>
          <w:sz w:val="20"/>
        </w:rPr>
        <w:t> — If you wish to present a stockholder proposal at the 2027 Annual Meeting that is not the subject of a proposal pursuant to Rule 14a-8 of the Exchange Act, or if you wish to recommend to the Board’s Corporate Governance and Nominating Committee the nomination of a person for election to the Board, you must follow the procedures outlined in our Bylaws.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for a nomination for director to be made by a stockholder, the stockholder’s notice must be received by the Company’s Secretary at the Company’s principal executive offices, not later than the close of business on the 90th day nor earlier than the close of business on the 120th day before the anniversary date of the 2026 Annual Meeting; provided, however, that in the event that the 2027 Annual Meeting is more than 30 days before or more than 60 days after such anniversary date, notice by the stockholder to be timely must be so received no earlier than the close of business on the 120th day before the 2027 Annual Meeting and not later than the later of (x) the close of business on the 90th day before the 2027 Annual Meeting or (y) the close of business on the 10th day following the day on which public announcement of the date of the 2027 Annual Meeting is first made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other stockholder proposals, to be timely, a stockholder’s notice must be received by the Company’s Secretary at the principal executive offices of the Company not later than the close of business on the 140th day nor earlier than the close of business on the 160th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160th day before the meeting and not later than the later of (x) the close of business on the 140th day before the meeting or (y) the close of business on the 10th day following the day on which public announcement of the date of the 2027 Annual Meeting is first made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comply with the universal proxy rules</w:t>
      </w:r>
      <w:r>
        <w:rPr>
          <w:rFonts w:ascii="Times New Roman;Times;Serif" w:hAnsi="Times New Roman;Times;Serif"/>
          <w:b w:val="false"/>
          <w:i w:val="false"/>
          <w:caps w:val="false"/>
          <w:smallCaps w:val="false"/>
          <w:sz w:val="20"/>
        </w:rPr>
        <w:t> — In addition to satisfying the foregoing requirements and other procedures under our Bylaws, to comply with the universal proxy rules, stockholders who intend to solicit proxies in support of director nominees other than the Company’s nominees must provide notice that sets forth the information required by Rule 14a-19 under the Exchange Act. The notice must be postmarked, or received (addressed to the Company’s Secretary at the address shown on the cover page of this proxy statement), no later than September 10, 2027 for the 2027 Annual Meeting; except that, if the date of the 2027 Annual Meeting has changed by more than 30 calendar days from the previous year, then notice must be provided by the later of September 10, 2027 or the 10th calendar day following the day on which public announcement of the date of the annual meeting is first made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Bylaws are available in our SEC filings, which can be accessed on our website at </w:t>
      </w:r>
      <w:r>
        <w:rPr>
          <w:rFonts w:ascii="Times New Roman;Times;Serif" w:hAnsi="Times New Roman;Times;Serif"/>
          <w:b w:val="false"/>
          <w:i/>
          <w:caps w:val="false"/>
          <w:smallCaps w:val="false"/>
          <w:sz w:val="20"/>
        </w:rPr>
        <w:t>www.starknovusfinancial.com</w:t>
      </w:r>
      <w:r>
        <w:rPr>
          <w:rFonts w:ascii="Times New Roman;Times;Serif" w:hAnsi="Times New Roman;Times;Serif"/>
          <w:b w:val="false"/>
          <w:i w:val="false"/>
          <w:caps w:val="false"/>
          <w:smallCaps w:val="false"/>
          <w:sz w:val="20"/>
        </w:rPr>
        <w:t xml:space="preserve"> under the “SEC Filings” tab in the “Financials &amp; Filings” section. Stockholders are urged to review all applicable rules and consult legal counsel before submitting a nomination or proposal to the Company.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2" w:name="rma_015"/>
      <w:bookmarkEnd w:id="142"/>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knows of no other matters that may be properly presented for consideration by the stockholders at the 2026 Annual Meeting. If any other matters do properly come before the meeting, however, the persons appointed in the accompanying proxy intend to vote the shares represented by such proxy in accordance with their best judgment.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3" w:name="rma_016"/>
      <w:bookmarkEnd w:id="143"/>
      <w:r>
        <w:rPr>
          <w:rFonts w:ascii="Times New Roman;Times;Serif" w:hAnsi="Times New Roman;Times;Serif"/>
          <w:b/>
          <w:i w:val="false"/>
          <w:caps w:val="false"/>
          <w:smallCaps w:val="false"/>
          <w:sz w:val="20"/>
        </w:rPr>
        <w:t>ANNUAL REPORT TO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Report (which is not a part of our proxy soliciting materials), is being mailed with this proxy statement to those stockholders that received a copy of the proxy materials in the mail. For those stockholders that received the notice of internet availability of proxy materials, this proxy statement and our Annual Report are available at our website at </w:t>
      </w:r>
      <w:r>
        <w:rPr>
          <w:rFonts w:ascii="Times New Roman;Times;Serif" w:hAnsi="Times New Roman;Times;Serif"/>
          <w:b w:val="false"/>
          <w:i/>
          <w:caps w:val="false"/>
          <w:smallCaps w:val="false"/>
          <w:sz w:val="20"/>
        </w:rPr>
        <w:t>www.starknovusfinancial.com</w:t>
      </w:r>
      <w:r>
        <w:rPr>
          <w:rFonts w:ascii="Times New Roman;Times;Serif" w:hAnsi="Times New Roman;Times;Serif"/>
          <w:b w:val="false"/>
          <w:i w:val="false"/>
          <w:caps w:val="false"/>
          <w:smallCaps w:val="false"/>
          <w:sz w:val="20"/>
        </w:rPr>
        <w:t xml:space="preserve">. Additionally, and in accordance with SEC rules, you may access our proxy statement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a “cookie-free” website that does not identify visitors to the site. A copy of our Annual Report filed with the SEC will be provided to stockholders without charge upon written request directed to our Secretary at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Upon your request, we will provide you with a copy of the exhibits to the Annual Report. You may be responsible for our reasonable expenses in furnishing such exhibits. The Company makes available on or through our website free of charge our Annual Report on Form 10-K, quarterly reports on Form 10-Q, current reports on Form 8-K and all amendments to such reports filed pursuant to Section 13(a) or 15(d) of the Securities Exchange Act of 1934 as soon as reasonably practicable after filing. You can also access our Annual Reports on Form 10-K and other periodic filings we make with the SEC from the EDGAR database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4" w:name="rma_017"/>
      <w:bookmarkEnd w:id="144"/>
      <w:r>
        <w:rPr>
          <w:rFonts w:ascii="Times New Roman;Times;Serif" w:hAnsi="Times New Roman;Times;Serif"/>
          <w:b/>
          <w:i w:val="false"/>
          <w:caps w:val="false"/>
          <w:smallCaps w:val="false"/>
          <w:sz w:val="20"/>
        </w:rPr>
        <w:t>HOUSEHOLDING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SEC’s rules allow companies to send a single notice of internet availability of proxy materials or single copy of annual reports, proxy statements, prospectuses, and other disclosure documents to two or more stockholders sharing the same address, subject to certain conditions. These “householding” rules are intended to provide greater convenience for stockholders, and cost savings for companies, by reducing the number of duplicate documents that stockholders receive. If your shares are held by an intermediary broker, dealer, or bank in “street name,” your consent to householding may be sought, or may already have been sought, by or on behalf of the intermediary. If you wish to revoke consent to householding obtained by a broker, dealer, or bank that holds shares for your account, you may contact your broker. Stockholders may request to receive separate or additional copies of the Notice of Internet Availability or proxy materials by following the instructions on the Notice of Internet Availability and by (1) visiting www.ProxyVote.com, (2) calling 1-800-579-1639 or (3) sending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xml:space="preserve"> and a copy will be delivered to you promptly. In any event, if you did not receive an individual copy of the proxy statement or our Annual Report, we will send a copy to you promptly if you address your written request to the Secretary, Stark Novus Financial Inc.,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Stockholders who share an address and receive multiple copies of the Notice of Internet Availability or proxy materials can also request to receive a single copy by following the instructions above.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525000" cy="12287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00" cy="122872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525000" cy="12296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525000" cy="12296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16469</Words>
  <Characters>87178</Characters>
  <CharactersWithSpaces>103946</CharactersWithSpaces>
  <Paragraphs>2636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