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LORDSTOWN MOTORS CORP.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54405Q 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Robert M. Loesch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Tucker Ellis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950 Main Avenue, Suite 1100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Cleveland, Ohio, 44113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(216) 696-5916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8,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AMENDMENT NO. 3 TO SCHEDULE 13D</w:t>
            </w:r>
          </w:p>
        </w:tc>
        <w:tc>
          <w:tcPr>
            <w:tcW w:w="0" w:type="dxa"/>
            <w:vAlign w:val="bottom"/>
          </w:tcPr>
          <w:p>
            <w:pPr>
              <w:spacing w:after="0"/>
              <w:rPr>
                <w:sz w:val="1"/>
                <w:szCs w:val="1"/>
                <w:color w:val="auto"/>
              </w:rPr>
            </w:pPr>
          </w:p>
        </w:tc>
      </w:tr>
      <w:tr>
        <w:trPr>
          <w:trHeight w:val="432"/>
        </w:trPr>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CUSIP No. 54405Q 100</w:t>
            </w:r>
          </w:p>
        </w:tc>
        <w:tc>
          <w:tcPr>
            <w:tcW w:w="10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2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Stephen S. Burns</w:t>
            </w: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6"/>
                <w:szCs w:val="16"/>
                <w:color w:val="auto"/>
              </w:rPr>
            </w:pPr>
          </w:p>
        </w:tc>
        <w:tc>
          <w:tcPr>
            <w:tcW w:w="1022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94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57"/>
        </w:trPr>
        <w:tc>
          <w:tcPr>
            <w:tcW w:w="94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9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022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2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2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30,602,745</w:t>
            </w:r>
          </w:p>
        </w:tc>
        <w:tc>
          <w:tcPr>
            <w:tcW w:w="0" w:type="dxa"/>
            <w:vAlign w:val="bottom"/>
          </w:tcPr>
          <w:p>
            <w:pPr>
              <w:spacing w:after="0"/>
              <w:rPr>
                <w:sz w:val="1"/>
                <w:szCs w:val="1"/>
                <w:color w:val="auto"/>
              </w:rPr>
            </w:pPr>
          </w:p>
        </w:tc>
      </w:tr>
      <w:tr>
        <w:trPr>
          <w:trHeight w:val="191"/>
        </w:trPr>
        <w:tc>
          <w:tcPr>
            <w:tcW w:w="1020" w:type="dxa"/>
            <w:vAlign w:val="bottom"/>
            <w:tcBorders>
              <w:left w:val="single" w:sz="8" w:color="auto"/>
            </w:tcBorders>
            <w:gridSpan w:val="2"/>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Borders>
              <w:right w:val="single" w:sz="8" w:color="auto"/>
            </w:tcBorders>
          </w:tcPr>
          <w:p>
            <w:pPr>
              <w:spacing w:after="0"/>
              <w:rPr>
                <w:sz w:val="16"/>
                <w:szCs w:val="16"/>
                <w:color w:val="auto"/>
              </w:rPr>
            </w:pPr>
          </w:p>
        </w:tc>
        <w:tc>
          <w:tcPr>
            <w:tcW w:w="6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6"/>
                <w:szCs w:val="16"/>
                <w:color w:val="auto"/>
              </w:rPr>
            </w:pPr>
          </w:p>
        </w:tc>
        <w:tc>
          <w:tcPr>
            <w:tcW w:w="9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14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20" w:type="dxa"/>
            <w:vAlign w:val="bottom"/>
            <w:tcBorders>
              <w:lef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680" w:type="dxa"/>
            <w:vAlign w:val="bottom"/>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5"/>
                <w:szCs w:val="15"/>
                <w:color w:val="auto"/>
              </w:rPr>
            </w:pPr>
          </w:p>
        </w:tc>
        <w:tc>
          <w:tcPr>
            <w:tcW w:w="930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14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14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30,602,745</w:t>
            </w:r>
          </w:p>
        </w:tc>
        <w:tc>
          <w:tcPr>
            <w:tcW w:w="0" w:type="dxa"/>
            <w:vAlign w:val="bottom"/>
          </w:tcPr>
          <w:p>
            <w:pPr>
              <w:spacing w:after="0"/>
              <w:rPr>
                <w:sz w:val="1"/>
                <w:szCs w:val="1"/>
                <w:color w:val="auto"/>
              </w:rPr>
            </w:pPr>
          </w:p>
        </w:tc>
      </w:tr>
      <w:tr>
        <w:trPr>
          <w:trHeight w:val="32"/>
        </w:trPr>
        <w:tc>
          <w:tcPr>
            <w:tcW w:w="1020" w:type="dxa"/>
            <w:vAlign w:val="bottom"/>
            <w:tcBorders>
              <w:lef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140" w:type="dxa"/>
            <w:vAlign w:val="bottom"/>
            <w:tcBorders>
              <w:right w:val="single" w:sz="8" w:color="auto"/>
            </w:tcBorders>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20" w:type="dxa"/>
            <w:vAlign w:val="bottom"/>
            <w:tcBorders>
              <w:left w:val="single" w:sz="8" w:color="auto"/>
            </w:tcBorders>
            <w:gridSpan w:val="2"/>
            <w:vMerge w:val="continue"/>
          </w:tcPr>
          <w:p>
            <w:pPr>
              <w:spacing w:after="0"/>
              <w:rPr>
                <w:sz w:val="19"/>
                <w:szCs w:val="19"/>
                <w:color w:val="auto"/>
              </w:rPr>
            </w:pPr>
          </w:p>
        </w:tc>
        <w:tc>
          <w:tcPr>
            <w:tcW w:w="140" w:type="dxa"/>
            <w:vAlign w:val="bottom"/>
            <w:tcBorders>
              <w:right w:val="single" w:sz="8" w:color="auto"/>
            </w:tcBorders>
            <w:vMerge w:val="continue"/>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w:t>
            </w: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30,602,745</w:t>
            </w: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57"/>
        </w:trPr>
        <w:tc>
          <w:tcPr>
            <w:tcW w:w="94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0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gridSpan w:val="2"/>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 TO SCHEDULE 13D</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tab/>
        <w:t>Security and Issuer</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Amendment No. 3 to Schedule 13D relates to the Class A common stock, $0.0001 par value per share (the “Common Stock”), of Lordstown Motors Corp., a Delaware corporation (the “Company”). The principal executive offices of the Company are located at 2300 Hallock Young Road, Lordstown, Ohio 44481.</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This Amendment No. 3 to Schedule 13D is being filed by Stephen S. Burns (the “Reporting Person”).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               The Reporting Person’s address is Stephen S. Burns, c/o Tucker Ellis LLP, 950 Main Avenue, Suite 1100 Cleveland, Ohio 44113, Attention: Robert M. Loesch.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The Reporting Person is a greater than 10% shareholder of the Company. Until June 13, 2021 the Reporting Person was Chief Executive Officer and a director of the Company.</w:t>
      </w:r>
    </w:p>
    <w:p>
      <w:pPr>
        <w:spacing w:after="0" w:line="16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(d)               During the last five years, the Reporting Person has not been convicted in a criminal proceeding (excluding traffic violations or similar misdemeanors).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               During the last five years, the Reporting Person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The Reporting Person is a citizen of the United States of America.</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All of the shares of the Common Stock to which this Amendment No. 3 to Schedule 13D relates were acquired by the Reporting Person pursuant to an Agreement and Plan of Merger, dated August 1, 2020 (the “Merger Agreement”), among the Company, DPL Merger Sub Corp., a Delaware corporation and wholly owned subsidiary of the Company (“Merger Sub”), and Lordstown EV Corporation (f/k/a Lordstown Motors Corp.) (“Legacy Lordstown”). Pursuant to the Merger Agreement, Merger Sub merged with and into Legacy Lordstown, with Legacy Lordstown surviving as the surviving company and as a wholly owned subsidiary of the Company (the “Merger” and collectively with the other transactions described in the Merger Agreement, the “Transactions”). The Transactions closed on October 23, 2020 (the “Closing”).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Legacy Lordstown common stock, par value</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$0.0001 per share (the “Legacy Lordstown common stock”) converted into and became exchangeable for 46,351,745 shares of the Common Stock for each share of the Legacy Lordstown common stock, such that each converted share of the Legacy Lordstown common stock was no longer outstanding and ceased to exist.</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Effective Time, the 829,461.91 shares of the Legacy Lordstown common stock held by the Reporting Person were automatically converted into 46,351,745 shares of the Common Stock. On November 12, 2021, the Reporting Person sold 3,204,000 shares of Common Stock on the open market at an average price per share of $5.88 On February 28, 2022, the Reporting Person sold 5,285,000 shares of Common Stock on the open market at an average price per share of $2.56. On March 2, 2022, the Reporting Person sold 2,500,000 shares of Common Stock on the open market at an average price per share of $2.44. On November 8, 2022, the Reporting Person sold 4,205,000 shares of Common Stock on the open market at an average price per share of $1.97. On November 9, 2022, the Reporting Person sold 550,000 shares of Common Stock on the open market at an average price per share of $1.70.</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Reporting Person acquired the Common Stock pursuant to the Merger Agreement. The information contained in Item 3 of this Amendment No. 3 to Schedule 13D is incorporated herein by reference.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Until June 13, 2021, the Reporting Person served as the Chief Executive Officer and a director of the Company. Subject to the Registration Rights and Lockup Agreement described in Item 6 of this Amendment No. 3 to Schedule 13D, the Reporting Person may, from time to time, purchase or sell securities of the Company as appropriate for his personal circumstances.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Except as described in this Amendment No. 3 to Schedule 13D, the Reporting Person does not have any present plans or proposals that relate to or would result in any of the actions described in clauses (a) through (j) of Item 4 of to Schedule 13D. The Reporting Person reserves the right to formulate plans and/or proposals and to take such actions with respect to his investment in the Company, including any or all of the actions set forth in clauses (a) through (j) of Item 4 of Schedule 13D.</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right="100" w:firstLine="8"/>
        <w:spacing w:after="0" w:line="258"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Reporting Person has beneficial ownership of 30,602,745 shares of the Common Stock. The percentage of beneficial ownership is approximately 14.1% of the outstanding shares of the Common Stock. The percentage of the Common Stock is based on 216,976,245 shares of Common Stock outstanding as of November 7, 2022, according to the Company’s most recent filing with the SEC on Form 10-Q. The Reporting Person has the sole power to vote or direct the vote and the sole power to dispose or direct the disposition of all shares of the Common Stock that the Reporting Person beneficially owned as of November 9, 2022.</w:t>
      </w:r>
    </w:p>
    <w:p>
      <w:pPr>
        <w:spacing w:after="0" w:line="183" w:lineRule="exact"/>
        <w:rPr>
          <w:sz w:val="20"/>
          <w:szCs w:val="20"/>
          <w:color w:val="auto"/>
        </w:rPr>
      </w:pPr>
    </w:p>
    <w:p>
      <w:pPr>
        <w:ind w:left="880" w:hanging="87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effected any transactions in the Common Stock in the past 60 days.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Transactions, the Company and certain stockholders of each of the Company and Legacy Lordstown, including the Reporting Person (collectively, the “Holders”), entered into a Registration Rights and Lockup Agreement (each, a “Registration Rights and Lockup Agreement”). Pursuant to the terms of the Registration Rights and Lockup Agreement, the Company is required to file a registration statement to register the resale of certain securities of the Company held by the Holders within 45 days after the closing of the Merger. In addition, the Company is obligated to facilitate or participate in no more than two underwritten offerings for any Holder (and no more than four underwritten offerings for all Holders in the aggregate), and the reasonably expected aggregate gross proceeds from each such underwritten offering must be at least $75 million. The Registration Rights and Lockup Agreement also provides the Holders with “piggy-back” registration rights, subject to certain requirements and customary conditions.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Registration Rights and Lockup Agreement further provides for the securities of the Company held by the Holders to be locked up for a period of time following the closing of the Merger, subject to certain exceptions. In particular, the Reporting Person agreed to a one-year lock-up period for his shares of the Common Stock and a two-year lock-up period for 50% of his shares of the Common Stock (collectively, “Lockup Shares”). As of the date of this Amendment No. 3 to Schedule 13D, the lock-up period has expired on all of the Lockup Shares. In addition, the Company has recourse for any indemnification claims under Section 8.2 of the Merger Agreement, subject to the limitations set forth in the Merger Agreement, from the Reporting Person’s Lockup Shares. Further, the Reporting Person agreed not to transfer any shares of the Common Stock held by him if, immediately following such transfer, the shares owned by him would be fewer than the number of shares that would be required to satisfy any outstanding indemnification claim made by the Company pursuant to the Merger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This summary is qualified by the actual terms of the Merger Agreement and Registration Rights and Lockup Agreement, copies of which are attached as exhibits to this Amendment No. 3 to Schedule 13D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60" w:right="80" w:hanging="1352"/>
        <w:spacing w:after="0" w:line="258" w:lineRule="auto"/>
        <w:tabs>
          <w:tab w:leader="none" w:pos="1360" w:val="left"/>
        </w:tabs>
        <w:numPr>
          <w:ilvl w:val="0"/>
          <w:numId w:val="4"/>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Agreement and Plan of Merger, dated August 1, 2020, among DiamondPeak Holdings Corp., DPL Merger Sub Corp. and Lordstown</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Motors Corp. (incorporated by reference to Exhibit 2.1 to the Current Report on Form 8-K filed on August 3, 2020)</w:t>
        </w:r>
      </w:hyperlink>
    </w:p>
    <w:p>
      <w:pPr>
        <w:ind w:left="1360" w:right="260" w:hanging="1352"/>
        <w:spacing w:after="0" w:line="260" w:lineRule="auto"/>
        <w:tabs>
          <w:tab w:leader="none" w:pos="1360" w:val="left"/>
        </w:tabs>
        <w:numPr>
          <w:ilvl w:val="0"/>
          <w:numId w:val="4"/>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Registration Rights and Lockup Agreement (incorporated by reference to Exhibit 10.2 to the Current Report on Form 8-K filed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October 29, 2020)</w:t>
        </w:r>
      </w:hyperlink>
    </w:p>
    <w:p>
      <w:pPr>
        <w:spacing w:after="0" w:line="397" w:lineRule="exact"/>
        <w:rPr>
          <w:rFonts w:ascii="Times New Roman" w:cs="Times New Roman" w:eastAsia="Times New Roman" w:hAnsi="Times New Roman"/>
          <w:sz w:val="18"/>
          <w:szCs w:val="18"/>
          <w:u w:val="single" w:color="auto"/>
          <w:color w:val="0000EE"/>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5" w:name="page6"/>
    <w:bookmarkEnd w:id="5"/>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hereby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Stephen S. Burns</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40"/>
      </w:cols>
      <w:pgMar w:left="320" w:top="90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8" Type="http://schemas.openxmlformats.org/officeDocument/2006/relationships/hyperlink" Target="https://www.sec.gov/Archives/edgar/data/1759546/000121390020019762/ea124863ex2-1_diamondpeak.htm" TargetMode="External"/><Relationship Id="rId19" Type="http://schemas.openxmlformats.org/officeDocument/2006/relationships/hyperlink" Target="https://www.sec.gov/Archives/edgar/data/1759546/000110465920119279/tm203419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2022-11-10T13:02:59Z</dcterms:created>
  <dcterms:modified xsi:type="dcterms:W3CDTF">2022-11-10T13:02:59Z</dcterms:modified>
</cp:coreProperties>
</file>