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ESOPUS CREEK VALUE SERIES FUND LP - SERIES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ESOPUS CREEK ADVISORS LLC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 NEWTOWN LANE #307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EAST 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11937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Stark Novus Financial Inc.</w:t>
              </w:r>
            </w:hyperlink>
            <w:r>
              <w:rPr/>
              <w:t xml:space="preserve"> [ </w:t>
            </w:r>
            <w:r>
              <w:rPr>
                <w:rFonts w:ascii="Times;serif" w:hAnsi="Times;serif"/>
                <w:color w:val="0000FF"/>
                <w:sz w:val="24"/>
                <w:shd w:fill="FFFFFF" w:val="clear"/>
              </w:rPr>
              <w:t>SNFI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 par value $0.0001</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772,000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ownership of these securities except to the extent of the reporting person's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Andrew L. Sole, as the managing member of the general partner of the Reporting Person, is in a position to determine the investment and voting decisions made by the Reporting Persson. Mr. Sole currently reports his holdings and transactions in the Issuer's securities in separate filings. Mr. Sole disclaims beneficial ownership of the securities covered by this statement except to the extent of the pecuniary interest of such person in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L. Sole, managing member of Esopus Creek Advisors, LLC, general partner of Esopus Creek Value Series Fund LP - Series 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6198" TargetMode="External"/><Relationship Id="rId5" Type="http://schemas.openxmlformats.org/officeDocument/2006/relationships/hyperlink" Target="http://www.sec.gov/cgi-bin/browse-edgar?action=getcompany&amp;CIK=00017595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3708</Characters>
  <CharactersWithSpaces>4327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