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a.htm"/>
      <w:bookmarkStart w:id="1" w:name="ksform8k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715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30, 2026 (</w:t>
      </w:r>
      <w:bookmarkStart w:id="3" w:name="xdx_904_edei--DocumentPeriodEndDate_c202"/>
      <w:bookmarkEnd w:id="3"/>
      <w:r>
        <w:rPr>
          <w:rFonts w:ascii="Times New Roman;Times;Serif" w:hAnsi="Times New Roman;Times;Serif"/>
          <w:b/>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STARK NOVUS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715"/>
            <w:bookmarkEnd w:id="6"/>
            <w:r>
              <w:rPr>
                <w:rFonts w:ascii="Times New Roman;Times;Serif" w:hAnsi="Times New Roman;Times;Serif"/>
                <w:b/>
                <w:i w:val="false"/>
                <w:caps w:val="false"/>
                <w:smallCaps w:val="false"/>
                <w:sz w:val="20"/>
              </w:rPr>
              <w:t>001-38821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83-2533239</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1700 Broadway,</w:t>
      </w:r>
      <w:r>
        <w:rPr>
          <w:rFonts w:ascii="Times New Roman;Times;Serif" w:hAnsi="Times New Roman;Times;Serif"/>
          <w:b w:val="false"/>
          <w:i w:val="false"/>
          <w:caps w:val="false"/>
          <w:smallCaps w:val="false"/>
          <w:sz w:val="20"/>
        </w:rPr>
        <w:t xml:space="preserve"> </w:t>
      </w:r>
      <w:bookmarkStart w:id="9" w:name="xdx_90D_edei--EntityAddressAddressLine2_"/>
      <w:bookmarkEnd w:id="9"/>
      <w:r>
        <w:rPr>
          <w:rFonts w:ascii="Times New Roman;Times;Serif" w:hAnsi="Times New Roman;Times;Serif"/>
          <w:b/>
          <w:i w:val="false"/>
          <w:caps w:val="false"/>
          <w:smallCaps w:val="false"/>
          <w:sz w:val="20"/>
        </w:rPr>
        <w:t>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New York, </w:t>
      </w:r>
      <w:bookmarkStart w:id="11" w:name="xdx_902_edei--EntityAddressStateOrProvin"/>
      <w:bookmarkEnd w:id="11"/>
      <w:r>
        <w:rPr>
          <w:rFonts w:ascii="Times New Roman;Times;Serif" w:hAnsi="Times New Roman;Times;Serif"/>
          <w:b/>
          <w:i w:val="false"/>
          <w:caps w:val="false"/>
          <w:smallCaps w:val="false"/>
          <w:sz w:val="20"/>
        </w:rPr>
        <w:t xml:space="preserve">New York </w:t>
      </w:r>
      <w:bookmarkStart w:id="12" w:name="xdx_908_edei--EntityAddressPostalZipCode"/>
      <w:bookmarkEnd w:id="12"/>
      <w:r>
        <w:rPr>
          <w:rFonts w:ascii="Times New Roman;Times;Serif" w:hAnsi="Times New Roman;Times;Serif"/>
          <w:b/>
          <w:i w:val="false"/>
          <w:caps w:val="false"/>
          <w:smallCaps w:val="false"/>
          <w:sz w:val="20"/>
        </w:rPr>
        <w:t>10019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9_edei--CityAreaCode_c20260715__20"/>
      <w:bookmarkEnd w:id="13"/>
      <w:r>
        <w:rPr>
          <w:rFonts w:ascii="Times New Roman;Times;Serif" w:hAnsi="Times New Roman;Times;Serif"/>
          <w:b/>
          <w:i w:val="false"/>
          <w:caps w:val="false"/>
          <w:smallCaps w:val="false"/>
          <w:sz w:val="20"/>
        </w:rPr>
        <w:t xml:space="preserve">(212) </w:t>
      </w:r>
      <w:bookmarkStart w:id="14" w:name="xdx_90A_edei--LocalPhoneNumber_c20260715"/>
      <w:bookmarkEnd w:id="14"/>
      <w:r>
        <w:rPr>
          <w:rFonts w:ascii="Times New Roman;Times;Serif" w:hAnsi="Times New Roman;Times;Serif"/>
          <w:b/>
          <w:i w:val="false"/>
          <w:caps w:val="false"/>
          <w:smallCaps w:val="false"/>
          <w:sz w:val="20"/>
        </w:rPr>
        <w:t>202-2200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SolicitingMaterial_c202607"/>
            <w:bookmarkEnd w:id="16"/>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F_edei--PreCommencementTenderOffer"/>
            <w:bookmarkEnd w:id="17"/>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1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0" w:name="xdx_90E_edei--AmendmentDescription_c2026"/>
      <w:bookmarkEnd w:id="20"/>
      <w:r>
        <w:rPr>
          <w:rFonts w:ascii="Times New Roman;Times;Serif" w:hAnsi="Times New Roman;Times;Serif"/>
          <w:b w:val="false"/>
          <w:i w:val="false"/>
          <w:caps w:val="false"/>
          <w:smallCaps w:val="false"/>
          <w:sz w:val="20"/>
        </w:rPr>
        <w:t>On July 15, 2026, Affinity Advisory Holdings Corp., a Delaware corporation and a wholly-owned subsidiary of Stark Novus Financial Inc. (formerly Nu Ride Inc.) (the “Company”) completed its previously announced acquisition of Affinity Advisory Network, LLC and AAN Wealth Advisors, LLC (together, “Affinity”), in accordance with the terms and conditions of the previously announced Membership Interest Purchase Agreement, dated June 2, 2026 (the “Transaction”), as previously disclosed in the Company’s Current Report on Form 8-K filed on July 21, 2026 (the “Original 8-K”). This Current Report on Form 8-K/A is being filed to amend Item 9.01 of the Original 8-K to include the financial statements of Affinity and pro forma financial information required by Item 9.01 of Form 8-K (this “Amendment No. 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1" w:name="xdx_C07_gIFAD-BW_zY3vHHexZldf"/>
      <w:bookmarkEnd w:id="21"/>
      <w:r>
        <w:rPr>
          <w:rFonts w:ascii="Times New Roman;Times;Serif" w:hAnsi="Times New Roman;Times;Serif"/>
          <w:b w:val="false"/>
          <w:i w:val="false"/>
          <w:caps w:val="false"/>
          <w:smallCaps w:val="false"/>
          <w:sz w:val="20"/>
        </w:rPr>
        <w:t>The pro forma financial information included in this Amendment No. 1 has been presented for informational purposes only, as required by Form 8-K. It does not purport to represent the actual results of operations that the Company and Affinity would have achieved had the companies been combined during the periods presented in the pro forma financial information, and is not intended to project the future results of operations that the combined company may achieve after completion of the Transaction. Except as described above, this Amendment No. 1 does not otherwise amend, modify, or update the disclosures contained in the Original 8-K.</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combined financial statements of Affinity as of and for the year ended December 31, 2025 are filed as Exhibit 99.1 hereto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combined financial statements of Affinity as of June 30, 2026 and for the period from January 1, 2026 through June 30, 2026 are filed as Exhibit 99.2 hereto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as of June 30, 2026, giving effect to the Transaction as if it had occurred on June 30, 2026, and the unaudited pro forma condensed combined statement of operations for the year ended December 31, 2025 and for the six months ended June 30, 2026, giving effect to the Transaction as if it had occurred on January 1, 2025, are filed as Exhibit 99.3 hereto and are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0"/>
        <w:gridCol w:w="60"/>
        <w:gridCol w:w="9215"/>
      </w:tblGrid>
      <w:tr>
        <w:trPr/>
        <w:tc>
          <w:tcPr>
            <w:tcW w:w="9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21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2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21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Audited combined financial statements of Affinity as of and for the year ended December 31, 2025</w:t>
              </w:r>
            </w:hyperlink>
          </w:p>
        </w:tc>
      </w:tr>
      <w:tr>
        <w:trPr/>
        <w:tc>
          <w:tcPr>
            <w:tcW w:w="9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9215"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Unaudited condensed combined financial statements of Affinity as of June 30, 2026 and for the period from January 1, 2026 through June 30, 2026.</w:t>
              </w:r>
            </w:hyperlink>
          </w:p>
        </w:tc>
      </w:tr>
      <w:tr>
        <w:trPr/>
        <w:tc>
          <w:tcPr>
            <w:tcW w:w="9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tcMar>
              <w:bottom w:w="0" w:type="dxa"/>
            </w:tcMar>
            <w:vAlign w:val="center"/>
          </w:tcPr>
          <w:p>
            <w:pPr>
              <w:pStyle w:val="TableContents"/>
              <w:bidi w:val="0"/>
              <w:spacing w:before="0" w:after="283"/>
              <w:jc w:val="left"/>
              <w:rPr/>
            </w:pPr>
            <w:r>
              <w:rPr/>
              <w:t> </w:t>
            </w:r>
          </w:p>
        </w:tc>
        <w:tc>
          <w:tcPr>
            <w:tcW w:w="9215" w:type="dxa"/>
            <w:tcBorders/>
            <w:tcMar>
              <w:bottom w:w="0" w:type="dxa"/>
            </w:tcMar>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rPr>
                <w:t>Unaudited pro forma financial information as of and for the six months ended June 30, 2026 and for the year ended December 31, 2025</w:t>
              </w:r>
            </w:hyperlink>
          </w:p>
        </w:tc>
      </w:tr>
      <w:tr>
        <w:trPr/>
        <w:tc>
          <w:tcPr>
            <w:tcW w:w="9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92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2135"/>
        <w:gridCol w:w="296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tc>
        <w:tc>
          <w:tcPr>
            <w:tcW w:w="29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 </w:t>
            </w:r>
            <w:r>
              <w:rPr>
                <w:rFonts w:ascii="Times New Roman;Times;Serif" w:hAnsi="Times New Roman;Times;Serif"/>
                <w:b w:val="false"/>
                <w:i/>
                <w:caps w:val="false"/>
                <w:smallCaps w:val="false"/>
                <w:sz w:val="20"/>
              </w:rPr>
              <w:t>Alexander Matina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Matina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and for the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 and AAN WEALTH ADVISORS, LLC</w:t>
      </w:r>
    </w:p>
    <w:p>
      <w:pPr>
        <w:pStyle w:val="TextBody"/>
        <w:bidi w:val="0"/>
        <w:spacing w:before="60" w:after="60"/>
        <w:ind w:left="60" w:right="6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Ohio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Report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Year Ended December 31, 2025</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370"/>
        <w:gridCol w:w="515"/>
      </w:tblGrid>
      <w:tr>
        <w:trPr/>
        <w:tc>
          <w:tcPr>
            <w:tcW w:w="7370" w:type="dxa"/>
            <w:tcBorders/>
            <w:shd w:fill="CCEEFF" w:val="clear"/>
            <w:vAlign w:val="center"/>
          </w:tcPr>
          <w:p>
            <w:pPr>
              <w:pStyle w:val="TableContents"/>
              <w:bidi w:val="0"/>
              <w:spacing w:before="0" w:after="283"/>
              <w:jc w:val="left"/>
              <w:rPr/>
            </w:pPr>
            <w:hyperlink w:anchor="BP_001">
              <w:r>
                <w:rPr>
                  <w:rStyle w:val="InternetLink"/>
                  <w:rFonts w:ascii="Times New Roman;Times;Serif" w:hAnsi="Times New Roman;Times;Serif"/>
                  <w:b/>
                  <w:i w:val="false"/>
                  <w:caps w:val="false"/>
                  <w:smallCaps w:val="false"/>
                  <w:sz w:val="20"/>
                </w:rPr>
                <w:t>Independent Auditor’s Report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Statements:</w:t>
            </w:r>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Balance Sheet as of December 31, 2025</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FIN_006">
              <w:r>
                <w:rPr>
                  <w:rStyle w:val="InternetLink"/>
                  <w:rFonts w:ascii="Times New Roman;Times;Serif" w:hAnsi="Times New Roman;Times;Serif"/>
                  <w:b w:val="false"/>
                  <w:i w:val="false"/>
                  <w:caps w:val="false"/>
                  <w:smallCaps w:val="false"/>
                  <w:sz w:val="20"/>
                </w:rPr>
                <w:t>Statement of Income for the Year Ended December 31, 2025</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FIN_007">
              <w:r>
                <w:rPr>
                  <w:rStyle w:val="InternetLink"/>
                  <w:rFonts w:ascii="Times New Roman;Times;Serif" w:hAnsi="Times New Roman;Times;Serif"/>
                  <w:b w:val="false"/>
                  <w:i w:val="false"/>
                  <w:caps w:val="false"/>
                  <w:smallCaps w:val="false"/>
                  <w:sz w:val="20"/>
                </w:rPr>
                <w:t>Statement of Changes in Members’ Equity (Deficit) for the Year Ended December 31, 2025</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FIN_008">
              <w:r>
                <w:rPr>
                  <w:rStyle w:val="InternetLink"/>
                  <w:rFonts w:ascii="Times New Roman;Times;Serif" w:hAnsi="Times New Roman;Times;Serif"/>
                  <w:b w:val="false"/>
                  <w:i w:val="false"/>
                  <w:caps w:val="false"/>
                  <w:smallCaps w:val="false"/>
                  <w:sz w:val="20"/>
                </w:rPr>
                <w:t>Statement of Cash Flows for the Year Ended December 31, 2025</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BP_006">
              <w:r>
                <w:rPr>
                  <w:rStyle w:val="InternetLink"/>
                  <w:rFonts w:ascii="Times New Roman;Times;Serif" w:hAnsi="Times New Roman;Times;Serif"/>
                  <w:b w:val="false"/>
                  <w:i w:val="false"/>
                  <w:caps w:val="false"/>
                  <w:smallCaps w:val="false"/>
                  <w:sz w:val="20"/>
                </w:rPr>
                <w:t>Notes to Combined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BP_001"/>
      <w:bookmarkEnd w:id="24"/>
      <w:r>
        <w:rPr>
          <w:rFonts w:ascii="Times New Roman;Times;Serif" w:hAnsi="Times New Roman;Times;Serif"/>
          <w:b/>
          <w:i w:val="false"/>
          <w:caps w:val="false"/>
          <w:smallCaps w:val="false"/>
          <w:sz w:val="20"/>
        </w:rPr>
        <w:t>Report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Members of Affinity Advisory Network, LLC and AAN Wealth Advisors,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Ohio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combined financial statements of Affinity Advisory Network, LLC and AAN Wealth Advisors, LLC (the “Company”), which comprise the combined balance sheet as of December 31, 2025, and the related combined statements of income, changes in members’ equity (deficit), and cash flows for the year then ended, and the related notes to the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combined financial statements present fairly, in all material respects, the financial position of the Company as of December 31, 2025, and the results of its operations and its cash flows for the year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combined financial statements in accordance with accounting principles generally accepted in the United States of America, and for the design, implementation, and maintenance of internal control relevant to the preparation and fair presentation of combined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combined financial statements, management is required to evaluate whether there are conditions or events, considered in the aggregate, that raise substantial doubt about the Company’s ability to continue as a going concern within one year after the date that the combined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combined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financial statements.</w:t>
      </w:r>
    </w:p>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Exercise professional judgment and maintain professional skepticism throughout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Identify and assess the risks of material misstatement of the combined financial statements, whether due to fraud or error, and design and perform audit procedures responsive to those risks. Such procedures include examining, on a test basis, evidence regarding the amounts and disclosures in the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Evaluate the appropriateness of accounting policies used and the reasonableness of significant accounting estimates made by management, as well as evaluate the overall presentation of the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1655"/>
        <w:gridCol w:w="7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Troy, Michigan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FIN_005"/>
      <w:bookmarkEnd w:id="25"/>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Balance Sheet</w:t>
      </w:r>
    </w:p>
    <w:p>
      <w:pPr>
        <w:pStyle w:val="TextBody"/>
        <w:bidi w:val="0"/>
        <w:spacing w:before="0" w:after="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4610"/>
        <w:gridCol w:w="60"/>
        <w:gridCol w:w="391"/>
        <w:gridCol w:w="1564"/>
        <w:gridCol w:w="110"/>
      </w:tblGrid>
      <w:tr>
        <w:trPr/>
        <w:tc>
          <w:tcPr>
            <w:tcW w:w="461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60" w:type="dxa"/>
            <w:tcBorders/>
            <w:tcMar>
              <w:bottom w:w="0" w:type="dxa"/>
            </w:tcMar>
            <w:vAlign w:val="center"/>
          </w:tcPr>
          <w:p>
            <w:pPr>
              <w:pStyle w:val="TableContents"/>
              <w:bidi w:val="0"/>
              <w:spacing w:before="0" w:after="283"/>
              <w:jc w:val="left"/>
              <w:rPr/>
            </w:pPr>
            <w:r>
              <w:rPr/>
              <w:t> </w:t>
            </w:r>
          </w:p>
        </w:tc>
        <w:tc>
          <w:tcPr>
            <w:tcW w:w="19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tcMar>
              <w:bottom w:w="0" w:type="dxa"/>
            </w:tcMar>
            <w:vAlign w:val="center"/>
          </w:tcPr>
          <w:p>
            <w:pPr>
              <w:pStyle w:val="TableContents"/>
              <w:bidi w:val="0"/>
              <w:spacing w:before="0" w:after="283"/>
              <w:jc w:val="left"/>
              <w:rPr/>
            </w:pPr>
            <w:r>
              <w:rPr/>
              <w:t> </w:t>
            </w:r>
          </w:p>
        </w:tc>
      </w:tr>
      <w:tr>
        <w:trPr/>
        <w:tc>
          <w:tcPr>
            <w:tcW w:w="46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FFFFFF" w:val="clear"/>
            <w:vAlign w:val="center"/>
          </w:tcPr>
          <w:p>
            <w:pPr>
              <w:pStyle w:val="TableContents"/>
              <w:bidi w:val="0"/>
              <w:spacing w:before="0" w:after="283"/>
              <w:jc w:val="left"/>
              <w:rPr/>
            </w:pPr>
            <w:r>
              <w:rPr/>
              <w:t> </w:t>
            </w:r>
          </w:p>
        </w:tc>
        <w:tc>
          <w:tcPr>
            <w:tcW w:w="15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vAlign w:val="center"/>
          </w:tcPr>
          <w:p>
            <w:pPr>
              <w:pStyle w:val="TableContents"/>
              <w:bidi w:val="0"/>
              <w:spacing w:before="0" w:after="283"/>
              <w:jc w:val="left"/>
              <w:rPr/>
            </w:pPr>
            <w:r>
              <w:rPr/>
              <w:t> </w:t>
            </w:r>
          </w:p>
        </w:tc>
        <w:tc>
          <w:tcPr>
            <w:tcW w:w="15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56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MEMBERS’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vAlign w:val="center"/>
          </w:tcPr>
          <w:p>
            <w:pPr>
              <w:pStyle w:val="TableContents"/>
              <w:bidi w:val="0"/>
              <w:spacing w:before="0" w:after="283"/>
              <w:jc w:val="left"/>
              <w:rPr/>
            </w:pPr>
            <w:r>
              <w:rPr/>
              <w:t> </w:t>
            </w:r>
          </w:p>
        </w:tc>
        <w:tc>
          <w:tcPr>
            <w:tcW w:w="15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Line of credit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net of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FFFFFF" w:val="clear"/>
            <w:vAlign w:val="center"/>
          </w:tcPr>
          <w:p>
            <w:pPr>
              <w:pStyle w:val="TableContents"/>
              <w:bidi w:val="0"/>
              <w:spacing w:before="0" w:after="283"/>
              <w:jc w:val="left"/>
              <w:rPr/>
            </w:pPr>
            <w:r>
              <w:rPr/>
              <w:t> </w:t>
            </w:r>
          </w:p>
        </w:tc>
        <w:tc>
          <w:tcPr>
            <w:tcW w:w="15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 </w:t>
            </w:r>
          </w:p>
        </w:tc>
        <w:tc>
          <w:tcPr>
            <w:tcW w:w="156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members’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members’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56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FIN_006"/>
      <w:bookmarkEnd w:id="26"/>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Statement of Income</w:t>
      </w:r>
    </w:p>
    <w:p>
      <w:pPr>
        <w:pStyle w:val="TextBody"/>
        <w:bidi w:val="0"/>
        <w:spacing w:before="0" w:after="0"/>
        <w:jc w:val="center"/>
        <w:rPr>
          <w:caps w:val="false"/>
          <w:smallCaps w:val="false"/>
        </w:rPr>
      </w:pPr>
      <w:r>
        <w:rPr>
          <w:caps w:val="false"/>
          <w:smallCaps w:val="false"/>
        </w:rPr>
        <w:t> </w:t>
      </w:r>
    </w:p>
    <w:tbl>
      <w:tblPr>
        <w:tblW w:w="5845" w:type="dxa"/>
        <w:jc w:val="left"/>
        <w:tblInd w:w="0" w:type="dxa"/>
        <w:tblLayout w:type="fixed"/>
        <w:tblCellMar>
          <w:top w:w="0" w:type="dxa"/>
          <w:left w:w="0" w:type="dxa"/>
          <w:bottom w:w="28" w:type="dxa"/>
          <w:right w:w="0" w:type="dxa"/>
        </w:tblCellMar>
      </w:tblPr>
      <w:tblGrid>
        <w:gridCol w:w="3635"/>
        <w:gridCol w:w="60"/>
        <w:gridCol w:w="415"/>
        <w:gridCol w:w="1660"/>
        <w:gridCol w:w="75"/>
      </w:tblGrid>
      <w:tr>
        <w:trPr/>
        <w:tc>
          <w:tcPr>
            <w:tcW w:w="3635"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60" w:type="dxa"/>
            <w:tcBorders/>
            <w:tcMar>
              <w:bottom w:w="0" w:type="dxa"/>
            </w:tcMar>
            <w:vAlign w:val="center"/>
          </w:tcPr>
          <w:p>
            <w:pPr>
              <w:pStyle w:val="TableContents"/>
              <w:bidi w:val="0"/>
              <w:spacing w:before="0" w:after="283"/>
              <w:jc w:val="left"/>
              <w:rPr/>
            </w:pPr>
            <w:r>
              <w:rPr/>
              <w:t> </w:t>
            </w:r>
          </w:p>
        </w:tc>
        <w:tc>
          <w:tcPr>
            <w:tcW w:w="2075"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For the Year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16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Advisory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Wealth management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CCEEFF" w:val="clear"/>
            <w:vAlign w:val="center"/>
          </w:tcPr>
          <w:p>
            <w:pPr>
              <w:pStyle w:val="TableContents"/>
              <w:bidi w:val="0"/>
              <w:spacing w:before="0" w:after="283"/>
              <w:jc w:val="left"/>
              <w:rPr/>
            </w:pPr>
            <w:r>
              <w:rPr/>
              <w:t> </w:t>
            </w:r>
          </w:p>
        </w:tc>
        <w:tc>
          <w:tcPr>
            <w:tcW w:w="16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16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166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Subcontractor and contract labor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FFFFFF" w:val="clear"/>
            <w:vAlign w:val="center"/>
          </w:tcPr>
          <w:p>
            <w:pPr>
              <w:pStyle w:val="TableContents"/>
              <w:bidi w:val="0"/>
              <w:spacing w:before="0" w:after="283"/>
              <w:jc w:val="left"/>
              <w:rPr/>
            </w:pPr>
            <w:r>
              <w:rPr/>
              <w:t> </w:t>
            </w:r>
          </w:p>
        </w:tc>
        <w:tc>
          <w:tcPr>
            <w:tcW w:w="16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16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166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Occupancy and facilities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16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CCEEFF" w:val="clear"/>
            <w:vAlign w:val="center"/>
          </w:tcPr>
          <w:p>
            <w:pPr>
              <w:pStyle w:val="TableContents"/>
              <w:bidi w:val="0"/>
              <w:spacing w:before="0" w:after="283"/>
              <w:jc w:val="left"/>
              <w:rPr/>
            </w:pPr>
            <w:r>
              <w:rPr/>
              <w:t> </w:t>
            </w:r>
          </w:p>
        </w:tc>
        <w:tc>
          <w:tcPr>
            <w:tcW w:w="16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16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166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166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FFFFFF" w:val="clear"/>
            <w:vAlign w:val="center"/>
          </w:tcPr>
          <w:p>
            <w:pPr>
              <w:pStyle w:val="TableContents"/>
              <w:bidi w:val="0"/>
              <w:spacing w:before="0" w:after="283"/>
              <w:jc w:val="left"/>
              <w:rPr/>
            </w:pPr>
            <w:r>
              <w:rPr/>
              <w:t> </w:t>
            </w:r>
          </w:p>
        </w:tc>
        <w:tc>
          <w:tcPr>
            <w:tcW w:w="16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166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IN_007"/>
      <w:bookmarkEnd w:id="27"/>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Statement of Changes in Members’ Equity (Deficit)</w:t>
      </w:r>
    </w:p>
    <w:p>
      <w:pPr>
        <w:pStyle w:val="TextBody"/>
        <w:bidi w:val="0"/>
        <w:jc w:val="center"/>
        <w:rPr/>
      </w:pPr>
      <w:r>
        <w:rPr/>
        <w:t> </w:t>
      </w:r>
    </w:p>
    <w:tbl>
      <w:tblPr>
        <w:tblW w:w="5615" w:type="dxa"/>
        <w:jc w:val="left"/>
        <w:tblInd w:w="0" w:type="dxa"/>
        <w:tblLayout w:type="fixed"/>
        <w:tblCellMar>
          <w:top w:w="0" w:type="dxa"/>
          <w:left w:w="0" w:type="dxa"/>
          <w:bottom w:w="28" w:type="dxa"/>
          <w:right w:w="0" w:type="dxa"/>
        </w:tblCellMar>
      </w:tblPr>
      <w:tblGrid>
        <w:gridCol w:w="3095"/>
        <w:gridCol w:w="60"/>
        <w:gridCol w:w="140"/>
        <w:gridCol w:w="2210"/>
        <w:gridCol w:w="110"/>
      </w:tblGrid>
      <w:tr>
        <w:trPr/>
        <w:tc>
          <w:tcPr>
            <w:tcW w:w="5615" w:type="dxa"/>
            <w:gridSpan w:val="5"/>
            <w:tcBorders>
              <w:bottom w:val="single" w:sz="8" w:space="0" w:color="000000"/>
            </w:tcBorders>
            <w:vAlign w:val="center"/>
          </w:tcPr>
          <w:p>
            <w:pPr>
              <w:pStyle w:val="TableContents"/>
              <w:bidi w:val="0"/>
              <w:spacing w:before="0" w:after="283"/>
              <w:jc w:val="center"/>
              <w:rPr>
                <w:b/>
              </w:rPr>
            </w:pPr>
            <w:r>
              <w:rPr>
                <w:b/>
              </w:rPr>
              <w:t>For the Year Ended December 31, 2025</w:t>
            </w:r>
          </w:p>
        </w:tc>
      </w:tr>
      <w:tr>
        <w:trPr/>
        <w:tc>
          <w:tcPr>
            <w:tcW w:w="5615" w:type="dxa"/>
            <w:gridSpan w:val="5"/>
            <w:tcBorders/>
            <w:tcMar>
              <w:bottom w:w="0" w:type="dxa"/>
            </w:tcMar>
            <w:vAlign w:val="center"/>
          </w:tcPr>
          <w:p>
            <w:pPr>
              <w:pStyle w:val="TableContents"/>
              <w:bidi w:val="0"/>
              <w:spacing w:before="0" w:after="283"/>
              <w:jc w:val="center"/>
              <w:rPr/>
            </w:pPr>
            <w:r>
              <w:rPr/>
              <w:t> </w:t>
            </w:r>
          </w:p>
        </w:tc>
      </w:tr>
      <w:tr>
        <w:trPr/>
        <w:tc>
          <w:tcPr>
            <w:tcW w:w="3095" w:type="dxa"/>
            <w:tcBorders>
              <w:bottom w:val="single" w:sz="8" w:space="0" w:color="000000"/>
            </w:tcBorders>
            <w:shd w:fill="FFFFFF" w:val="clear"/>
            <w:vAlign w:val="center"/>
          </w:tcPr>
          <w:p>
            <w:pPr>
              <w:pStyle w:val="TableContents"/>
              <w:bidi w:val="0"/>
              <w:spacing w:before="0" w:after="283"/>
              <w:jc w:val="left"/>
              <w:rPr>
                <w:b/>
                <w:i/>
              </w:rPr>
            </w:pPr>
            <w:r>
              <w:rPr>
                <w:b/>
                <w:i/>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shd w:fill="FFFFFF" w:val="cle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Members’ Equity (Deficit)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b/>
              </w:rPr>
            </w:pPr>
            <w:r>
              <w:rPr>
                <w:b/>
              </w:rPr>
              <w:t>Balance at 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210" w:type="dxa"/>
            <w:tcBorders/>
            <w:shd w:fill="CCEEFF" w:val="clear"/>
            <w:tcMar>
              <w:bottom w:w="0" w:type="dxa"/>
            </w:tcMar>
            <w:vAlign w:val="center"/>
          </w:tcPr>
          <w:p>
            <w:pPr>
              <w:pStyle w:val="TableContents"/>
              <w:bidi w:val="0"/>
              <w:spacing w:before="0" w:after="283"/>
              <w:jc w:val="right"/>
              <w:rPr/>
            </w:pPr>
            <w:r>
              <w:rPr/>
              <w:t>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pPr>
            <w:r>
              <w:rPr/>
              <w:t>Members’ draw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2210" w:type="dxa"/>
            <w:tcBorders/>
            <w:shd w:fill="CCEEFF" w:val="clear"/>
            <w:tcMar>
              <w:bottom w:w="0" w:type="dxa"/>
            </w:tcMar>
            <w:vAlign w:val="center"/>
          </w:tcPr>
          <w:p>
            <w:pPr>
              <w:pStyle w:val="TableContents"/>
              <w:bidi w:val="0"/>
              <w:spacing w:before="0" w:after="283"/>
              <w:jc w:val="right"/>
              <w:rPr/>
            </w:pPr>
            <w:r>
              <w:rPr/>
              <w:t>(1,373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095"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2210" w:type="dxa"/>
            <w:tcBorders>
              <w:bottom w:val="single" w:sz="8" w:space="0" w:color="000000"/>
            </w:tcBorders>
            <w:shd w:fill="FFFFFF" w:val="clear"/>
            <w:vAlign w:val="center"/>
          </w:tcPr>
          <w:p>
            <w:pPr>
              <w:pStyle w:val="TableContents"/>
              <w:bidi w:val="0"/>
              <w:spacing w:before="0" w:after="283"/>
              <w:jc w:val="right"/>
              <w:rPr/>
            </w:pPr>
            <w:r>
              <w:rPr/>
              <w:t>1,006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b/>
              </w:rPr>
            </w:pPr>
            <w:r>
              <w:rPr>
                <w:b/>
              </w:rPr>
              <w:t>Balance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2210" w:type="dxa"/>
            <w:tcBorders>
              <w:bottom w:val="double" w:sz="6" w:space="0" w:color="000000"/>
            </w:tcBorders>
            <w:shd w:fill="CCEEFF" w:val="clear"/>
            <w:vAlign w:val="center"/>
          </w:tcPr>
          <w:p>
            <w:pPr>
              <w:pStyle w:val="TableContents"/>
              <w:bidi w:val="0"/>
              <w:spacing w:before="0" w:after="283"/>
              <w:jc w:val="right"/>
              <w:rPr/>
            </w:pPr>
            <w:r>
              <w:rPr/>
              <w:t>(360</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IN_008"/>
      <w:bookmarkEnd w:id="28"/>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Statement of Cash Flows</w:t>
      </w:r>
    </w:p>
    <w:p>
      <w:pPr>
        <w:pStyle w:val="TextBody"/>
        <w:bidi w:val="0"/>
        <w:spacing w:before="0" w:after="0"/>
        <w:jc w:val="center"/>
        <w:rPr>
          <w:caps w:val="false"/>
          <w:smallCaps w:val="false"/>
        </w:rPr>
      </w:pPr>
      <w:r>
        <w:rPr>
          <w:caps w:val="false"/>
          <w:smallCaps w:val="false"/>
        </w:rPr>
        <w:t> </w:t>
      </w:r>
    </w:p>
    <w:tbl>
      <w:tblPr>
        <w:tblW w:w="9869" w:type="dxa"/>
        <w:jc w:val="left"/>
        <w:tblInd w:w="0" w:type="dxa"/>
        <w:tblLayout w:type="fixed"/>
        <w:tblCellMar>
          <w:top w:w="0" w:type="dxa"/>
          <w:left w:w="0" w:type="dxa"/>
          <w:bottom w:w="28" w:type="dxa"/>
          <w:right w:w="0" w:type="dxa"/>
        </w:tblCellMar>
      </w:tblPr>
      <w:tblGrid>
        <w:gridCol w:w="7625"/>
        <w:gridCol w:w="60"/>
        <w:gridCol w:w="373"/>
        <w:gridCol w:w="1701"/>
        <w:gridCol w:w="110"/>
      </w:tblGrid>
      <w:tr>
        <w:trPr/>
        <w:tc>
          <w:tcPr>
            <w:tcW w:w="7625"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60" w:type="dxa"/>
            <w:tcBorders/>
            <w:tcMar>
              <w:bottom w:w="0" w:type="dxa"/>
            </w:tcMar>
            <w:vAlign w:val="center"/>
          </w:tcPr>
          <w:p>
            <w:pPr>
              <w:pStyle w:val="TableContents"/>
              <w:bidi w:val="0"/>
              <w:spacing w:before="0" w:after="283"/>
              <w:jc w:val="left"/>
              <w:rPr/>
            </w:pPr>
            <w:r>
              <w:rPr/>
              <w:t> </w:t>
            </w:r>
          </w:p>
        </w:tc>
        <w:tc>
          <w:tcPr>
            <w:tcW w:w="207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For the Year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tcMar>
              <w:bottom w:w="0" w:type="dxa"/>
            </w:tcMar>
            <w:vAlign w:val="center"/>
          </w:tcPr>
          <w:p>
            <w:pPr>
              <w:pStyle w:val="TableContents"/>
              <w:bidi w:val="0"/>
              <w:spacing w:before="0" w:after="283"/>
              <w:jc w:val="left"/>
              <w:rPr/>
            </w:pPr>
            <w:r>
              <w:rPr/>
              <w:t> </w:t>
            </w:r>
          </w:p>
        </w:tc>
      </w:tr>
      <w:tr>
        <w:trPr/>
        <w:tc>
          <w:tcPr>
            <w:tcW w:w="7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income to net cash provided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operating assets and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8" w:space="0" w:color="000000"/>
            </w:tcBorders>
            <w:shd w:fill="CCEEFF" w:val="clear"/>
            <w:vAlign w:val="center"/>
          </w:tcPr>
          <w:p>
            <w:pPr>
              <w:pStyle w:val="TableContents"/>
              <w:bidi w:val="0"/>
              <w:spacing w:before="0" w:after="283"/>
              <w:jc w:val="left"/>
              <w:rPr/>
            </w:pPr>
            <w:r>
              <w:rPr/>
              <w:t> </w:t>
            </w:r>
          </w:p>
        </w:tc>
        <w:tc>
          <w:tcPr>
            <w:tcW w:w="170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 repayments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draw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single" w:sz="8" w:space="0" w:color="000000"/>
            </w:tcBorders>
            <w:shd w:fill="CCEEFF" w:val="clear"/>
            <w:vAlign w:val="center"/>
          </w:tcPr>
          <w:p>
            <w:pPr>
              <w:pStyle w:val="TableContents"/>
              <w:bidi w:val="0"/>
              <w:spacing w:before="0" w:after="283"/>
              <w:jc w:val="left"/>
              <w:rPr/>
            </w:pPr>
            <w:r>
              <w:rPr/>
              <w:t> </w:t>
            </w:r>
          </w:p>
        </w:tc>
        <w:tc>
          <w:tcPr>
            <w:tcW w:w="170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during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beginning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single" w:sz="8" w:space="0" w:color="000000"/>
            </w:tcBorders>
            <w:shd w:fill="FFFFFF" w:val="clear"/>
            <w:vAlign w:val="center"/>
          </w:tcPr>
          <w:p>
            <w:pPr>
              <w:pStyle w:val="TableContents"/>
              <w:bidi w:val="0"/>
              <w:spacing w:before="0" w:after="283"/>
              <w:jc w:val="left"/>
              <w:rPr/>
            </w:pPr>
            <w:r>
              <w:rPr/>
              <w:t> </w:t>
            </w:r>
          </w:p>
        </w:tc>
        <w:tc>
          <w:tcPr>
            <w:tcW w:w="170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shd w:fill="FFFFFF" w:val="clear"/>
            <w:tcMar>
              <w:bottom w:w="0" w:type="dxa"/>
            </w:tcMar>
            <w:vAlign w:val="center"/>
          </w:tcPr>
          <w:p>
            <w:pPr>
              <w:pStyle w:val="TableContents"/>
              <w:bidi w:val="0"/>
              <w:spacing w:before="0" w:after="283"/>
              <w:jc w:val="left"/>
              <w:rPr/>
            </w:pPr>
            <w:r>
              <w:rPr/>
              <w:t> </w:t>
            </w:r>
          </w:p>
        </w:tc>
        <w:tc>
          <w:tcPr>
            <w:tcW w:w="1701"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3"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BP_006"/>
      <w:bookmarkEnd w:id="29"/>
      <w:r>
        <w:rPr>
          <w:rFonts w:ascii="Times New Roman;Times;Serif" w:hAnsi="Times New Roman;Times;Serif"/>
          <w:b/>
          <w:i w:val="false"/>
          <w:caps w:val="false"/>
          <w:smallCaps w:val="false"/>
          <w:sz w:val="20"/>
        </w:rPr>
        <w:t>Notes to Combined Financial Statements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Affinity Advisory Network, LLC and AAN Wealth Advisors, LLC (“Affinity” or the “Company”) supports a nationwide network of agents and advisors serving clients throughout the United States. Affinity’s mission is to develop proprietary advisor training systems, lead generation infrastructure and client relationship management tools designed to support scalable growth and recurring client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delivers integrated retirement, investment, and estate planning solutions through a coordinated model that combines insurance distribution and registered investment advisory.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Complementing the insurance offering is AAN Wealth Advisors, LLC, an independent Registered Investment Advisor (“RIA”) that provides fiduciary-based investment management. Through this service, the RIA’s mission is to provide clients with personalized portfolio construction, retirement income planning, and tax-efficient investment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accounting principles generally accepted in the United States of America (“US GAAP”). The Company is a private company that is not required to file financial statements with the Securities and Exchange Commission. All amounts are presented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combined financial statements have been prepared on a standalone basis and are derived from the historical financial records of Affinity Advisory Network, LLC and AAN Wealth Advisors, LLC. These combined financial statements include the assets, liabilities, equity, revenues, expenses, and cash flows of the two entities under common control and shared management, as listed in Note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legal parent-subsidiary relationship did not exist between these entities during the periods presented, these financial statements are presented on a combined rather than consolidated basis. All significant intercompany balances, transactions, and unrealized profits or losses between the combined entities, if any, have been eliminated in full upon combination. The financial information included herein may not necessarily reflect the financial position, results of operations, or cash flows that would have occurred had the combined entities operated as a single, separate standalone enterprise during the period presented.</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include the allowance for credit losses and incremental borrowing rates used to measure lease liabilities.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consists of demand deposits held at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receivables. The Company maintains its cash balances at financial institutions where deposits may at times exceed federally insured limits of $250 per depositor, per institution. The Company has not experienced losses on these balances and management believes the Company is not exposed to significant credit risk with respect to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are stated at the amount the Company expects to collect and do not bear interest. The Company measures expected credit losses over the contractual life of its receivables using a current expected credit loss model. Receivables are pooled based on similar risk characteristics, including client type and aging, and the Company applies loss rates derived from historical write-off experience, adjusted for current conditions and reasonable and supportable forecasts. Receivables are written off when management determines that collection is no longer probable, and subsequent recoveries are credited to the allowance in the period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Furniture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equipment are stated at cost, less accumulated depreciation and amortization. Depreciation is computed using the straight-line method over the estimated useful lives of the related assets. Expenditures for maintenance and repairs are expensed as incurred, while renewals and betterments that extend the useful life of an asset are capitalized. Upon retirement or disposal, the cost and related accumulated depreciation are removed from the accounts and any resulting gain or loss is included in operations. Estimated useful lives are as follows:</w:t>
      </w:r>
    </w:p>
    <w:p>
      <w:pPr>
        <w:pStyle w:val="TextBody"/>
        <w:bidi w:val="0"/>
        <w:spacing w:before="0" w:after="0"/>
        <w:jc w:val="center"/>
        <w:rPr>
          <w:caps w:val="false"/>
          <w:smallCaps w:val="false"/>
        </w:rPr>
      </w:pPr>
      <w:r>
        <w:rPr>
          <w:caps w:val="false"/>
          <w:smallCaps w:val="false"/>
        </w:rPr>
        <w:t> </w:t>
      </w:r>
    </w:p>
    <w:tbl>
      <w:tblPr>
        <w:tblW w:w="2755" w:type="dxa"/>
        <w:jc w:val="center"/>
        <w:tblInd w:w="0" w:type="dxa"/>
        <w:tblLayout w:type="fixed"/>
        <w:tblCellMar>
          <w:top w:w="0" w:type="dxa"/>
          <w:left w:w="0" w:type="dxa"/>
          <w:bottom w:w="28" w:type="dxa"/>
          <w:right w:w="0" w:type="dxa"/>
        </w:tblCellMar>
      </w:tblPr>
      <w:tblGrid>
        <w:gridCol w:w="1835"/>
        <w:gridCol w:w="60"/>
        <w:gridCol w:w="860"/>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w:t>
            </w:r>
          </w:p>
        </w:tc>
      </w:tr>
      <w:tr>
        <w:trPr/>
        <w:tc>
          <w:tcPr>
            <w:tcW w:w="18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5 - 7 years</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3 - 5 years</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5 - 7 years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arrangement is or contains a lease at inception. Operating lease right-of-use assets and lease liabilities are recognized at the commencement date based on the present value of the remaining lease payments over the lease term, and the right-of-use asset is adjusted for prepaid or accrued rent, lease incentives, and initial direct costs. Because the rate implicit in its leases is not readily determinable, the Company uses its incremental borrowing rate. The Company has elected the short-term lease exception and does not record right-of-use assets or lease liabilities for leases with an original term of twelve months or less; such payments are recognized as expense on a straight-line basis over the lease term. Variable lease payments, including common area maintenance and operating cost escalations, are expensed as incurred.</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under </w:t>
      </w:r>
      <w:r>
        <w:rPr>
          <w:rFonts w:ascii="Times New Roman;Times;Serif" w:hAnsi="Times New Roman;Times;Serif"/>
          <w:b w:val="false"/>
          <w:i/>
          <w:caps w:val="false"/>
          <w:smallCaps w:val="false"/>
          <w:sz w:val="20"/>
        </w:rPr>
        <w:t>ASC 606, Revenue from Contracts with Customers</w:t>
      </w:r>
      <w:r>
        <w:rPr>
          <w:rFonts w:ascii="Times New Roman;Times;Serif" w:hAnsi="Times New Roman;Times;Serif"/>
          <w:b w:val="false"/>
          <w:i w:val="false"/>
          <w:caps w:val="false"/>
          <w:smallCaps w:val="false"/>
          <w:sz w:val="20"/>
        </w:rPr>
        <w:t>. The Company’s revenue consists of advisory fees and wealth management fees. The core principle of ASC 606 is to recognize upon the transfer of promised goods or services to customers in amount that reflects the consideration the entity expects to be entitled to in exchange for those goods or services. Accordingly, the Company recognizes revenue for services through the application of the following steps:</w:t>
      </w:r>
    </w:p>
    <w:p>
      <w:pPr>
        <w:pStyle w:val="TextBody"/>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its performance obligation.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Advisory Fees.</w:t>
      </w:r>
      <w:r>
        <w:rPr>
          <w:rFonts w:ascii="Times New Roman;Times;Serif" w:hAnsi="Times New Roman;Times;Serif"/>
          <w:b w:val="false"/>
          <w:i w:val="false"/>
          <w:caps w:val="false"/>
          <w:smallCaps w:val="false"/>
          <w:sz w:val="20"/>
        </w:rPr>
        <w:t xml:space="preserve"> The Company acts as a principal and earns commission revenue from annuity and life insurance policies sold on behalf of its insurance carrier partners for which the Company is designated as the assigned marketing organization. Specifically, the Company earns commission revenue when a submitted annuity and life insurance policy is approved by the carrier and funded. The Company defines the carrier as its customer under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a one-time commission payment which is based on the premium amount when the policy is issued and funded by the paying member. Each carrier that the Company considers to be customers have contracted commission tables based on the product selected by the paying member, the age of the paying member and distribution level of the sales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earns trailing commission revenue which is earned over the policy term; however, that amount is immaterial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Wealth Management Fees.</w:t>
      </w:r>
      <w:r>
        <w:rPr>
          <w:rFonts w:ascii="Times New Roman;Times;Serif" w:hAnsi="Times New Roman;Times;Serif"/>
          <w:b w:val="false"/>
          <w:i w:val="false"/>
          <w:caps w:val="false"/>
          <w:smallCaps w:val="false"/>
          <w:sz w:val="20"/>
        </w:rPr>
        <w:t xml:space="preserve"> The Company acts as a principal and earns investment advisory revenue representing fees charged to clients based on the average daily market value of the assets held in members designated account over the preceding calendar quarter. The Company’s fees are billed quarterly, in arrears. Revenue for investment advisory services is recognized ratably during the quarter. The performance obligation for advisory services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client accounts are on a calendar quarter and are billed using values as of the last business day of the preceding quarter. The value of the eligible assets in an advisory account on the billing date is adjusted for contributions and withdrawals during the period to determine the amount of revenue earned in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Professional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employees directly associated with generating commission revenue are classified as professional compensation in the accompanying combined statement of income.</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Subcontractor and contract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Subcontractor and contract labor cost consists of the following: payout amounts that are earned by and paid out to advisors based on advisory and commission revenue earned on each client’s account, production-based bonuses earned by advisors based on the levels of advisory and commission revenue they produce. Costs directly associated with generating commission revenue, including commissions paid to independent producers and affiliated agents, are classified as subcontractor and contract labor cost in the accompanying combined statement of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expenses consist primarily of promotional activities associated with the Company’s direct marketing. Direct marketing includes meetings and seminars which are held in the pursuit of attracting new clients. Marketing and advertising costs are expensed as incurred, are included in marketing and advertising in the accompanying combined statement of income and was approximately $276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limited liability company and consequently, is not a tax-paying entity for United States federal income tax purposes. Accordingly, a provision for income taxes has not been recorded in the accompanying financial statements. Company income or losses are reflected in the members’ individual or corporate tax returns in accordance with their ownership percentages.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determine whether its tax positions are more likely than not to be sustained upon examination by the applicable taxing authority, including resolution of any related appeals or litigation processes, based on the technical merits of the position. The tax benefit recognized is measured as the largest amount of benefit that has a greater than fifty percent likelihood of being realized upon ultimate settlement with the relevant taxing authority. De-recognition of a tax benefit previously recognized results in the Company recording a tax liability that reduces member’s equity. Based on its analysis the Company has determined that it has not incurred any liability for unrecognized tax benefits as of December 31, 2025. The Company’s conclusions may be subject to review and adjustment at a later date based on variety of factors including, but not limited to, on-going analysis of and changes to tax laws, regulations and interpretations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in interest expense and other expenses, respectively. No interest expense or penalties have been recognized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Company applies a three-level hierarchy that prioritizes the inputs used to measure fair value: Level 1 inputs are quoted prices in active markets for identical assets or liabilities; Level 2 inputs are observable inputs other than Level 1 prices, such as quoted prices for similar instruments or inputs corroborated by observable market data; and Level 3 inputs are unobservable inputs that reflect the Company’s own assumptions about the assumptions market participants would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mainly of cash, receivables, accounts payable, accrued liabilities, the carrying amounts of which approximate fair value because of their short maturities. The carrying value of the line of credit approximates fair value because of the variability of interest rates associated with the instrument.</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Receivables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ending balance was $221 at December 31, 2024 and $314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zero balance in allowance for credit losses at December 31, 2024, there was no provision for credit losses and no write-offs charged against credit allowance during the year ending December 31, 2025, netting to a zero balance in allowance for credit losses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Furniture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furniture and equipment, net consisted of the following:</w:t>
      </w:r>
    </w:p>
    <w:p>
      <w:pPr>
        <w:pStyle w:val="TextBody"/>
        <w:bidi w:val="0"/>
        <w:spacing w:before="0" w:after="0"/>
        <w:jc w:val="center"/>
        <w:rPr>
          <w:caps w:val="false"/>
          <w:smallCaps w:val="false"/>
        </w:rPr>
      </w:pPr>
      <w:r>
        <w:rPr>
          <w:caps w:val="false"/>
          <w:smallCaps w:val="false"/>
        </w:rPr>
        <w:t> </w:t>
      </w:r>
    </w:p>
    <w:tbl>
      <w:tblPr>
        <w:tblW w:w="5114" w:type="dxa"/>
        <w:jc w:val="center"/>
        <w:tblInd w:w="0" w:type="dxa"/>
        <w:tblLayout w:type="fixed"/>
        <w:tblCellMar>
          <w:top w:w="0" w:type="dxa"/>
          <w:left w:w="0" w:type="dxa"/>
          <w:bottom w:w="0" w:type="dxa"/>
          <w:right w:w="0" w:type="dxa"/>
        </w:tblCellMar>
      </w:tblPr>
      <w:tblGrid>
        <w:gridCol w:w="2990"/>
        <w:gridCol w:w="60"/>
        <w:gridCol w:w="459"/>
        <w:gridCol w:w="1495"/>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fixtures</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equipment</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Equipment</w:t>
            </w:r>
          </w:p>
        </w:tc>
        <w:tc>
          <w:tcPr>
            <w:tcW w:w="60" w:type="dxa"/>
            <w:tcBorders/>
            <w:shd w:fill="CCEEFF" w:val="clear"/>
            <w:vAlign w:val="center"/>
          </w:tcPr>
          <w:p>
            <w:pPr>
              <w:pStyle w:val="TableContents"/>
              <w:bidi w:val="0"/>
              <w:spacing w:before="0" w:after="283"/>
              <w:jc w:val="left"/>
              <w:rPr/>
            </w:pPr>
            <w:r>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equipment</w:t>
            </w:r>
          </w:p>
        </w:tc>
        <w:tc>
          <w:tcPr>
            <w:tcW w:w="60" w:type="dxa"/>
            <w:tcBorders/>
            <w:shd w:fill="FFFFFF" w:val="cle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equipment became fully depreciated prior to January 1, 2025 and therefore no depreciation expense was recorded for the year ended December 31, 2025.</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in Cuyahoga Falls, Ohio and Canton, Ohio, under non-cancelable operating leases with remaining terms of approximately 1.4 years and 2.3 years, respectively, certain of which include options to extend the lease term for five years and three years, respectively. Renewal options are included in the measurement of lease liabilities only when the Company is reasonably certain to exercise them. The Company’s leases do not contain material residual value guarantees or restrictive covenants. The Company has one other short-term lease which is expensed as permitted under the short-term lease exemption. The components of lease cost were as follows:</w:t>
      </w:r>
    </w:p>
    <w:p>
      <w:pPr>
        <w:pStyle w:val="TextBody"/>
        <w:bidi w:val="0"/>
        <w:spacing w:before="0" w:after="0"/>
        <w:jc w:val="center"/>
        <w:rPr>
          <w:caps w:val="false"/>
          <w:smallCaps w:val="false"/>
        </w:rPr>
      </w:pPr>
      <w:r>
        <w:rPr>
          <w:caps w:val="false"/>
          <w:smallCaps w:val="false"/>
        </w:rPr>
        <w:t> </w:t>
      </w:r>
    </w:p>
    <w:tbl>
      <w:tblPr>
        <w:tblW w:w="4089" w:type="dxa"/>
        <w:jc w:val="center"/>
        <w:tblInd w:w="0" w:type="dxa"/>
        <w:tblLayout w:type="fixed"/>
        <w:tblCellMar>
          <w:top w:w="0" w:type="dxa"/>
          <w:left w:w="0" w:type="dxa"/>
          <w:bottom w:w="28" w:type="dxa"/>
          <w:right w:w="0" w:type="dxa"/>
        </w:tblCellMar>
      </w:tblPr>
      <w:tblGrid>
        <w:gridCol w:w="2000"/>
        <w:gridCol w:w="60"/>
        <w:gridCol w:w="526"/>
        <w:gridCol w:w="1428"/>
        <w:gridCol w:w="75"/>
      </w:tblGrid>
      <w:tr>
        <w:trPr/>
        <w:tc>
          <w:tcPr>
            <w:tcW w:w="200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cost</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Year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Variable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6" w:type="dxa"/>
            <w:tcBorders>
              <w:bottom w:val="single" w:sz="8" w:space="0" w:color="000000"/>
            </w:tcBorders>
            <w:shd w:fill="CCEEFF" w:val="clear"/>
            <w:vAlign w:val="center"/>
          </w:tcPr>
          <w:p>
            <w:pPr>
              <w:pStyle w:val="TableContents"/>
              <w:bidi w:val="0"/>
              <w:spacing w:before="0" w:after="283"/>
              <w:jc w:val="left"/>
              <w:rPr/>
            </w:pPr>
            <w:r>
              <w:rPr/>
              <w:t> </w:t>
            </w:r>
          </w:p>
        </w:tc>
        <w:tc>
          <w:tcPr>
            <w:tcW w:w="142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weighted-average remaining lease term for operating leases was approximately 1.9 years and the weighted-average discount rate was 5.5%. Cash paid for amounts included in the measurement of operating lease liabilities was approximately $122 for the year ended December 31, 2025. Maturities of operating lease liabilities as of December 31, 2025 are as follows:</w:t>
      </w:r>
    </w:p>
    <w:p>
      <w:pPr>
        <w:pStyle w:val="TextBody"/>
        <w:bidi w:val="0"/>
        <w:spacing w:before="0" w:after="0"/>
        <w:jc w:val="center"/>
        <w:rPr>
          <w:caps w:val="false"/>
          <w:smallCaps w:val="false"/>
        </w:rPr>
      </w:pPr>
      <w:r>
        <w:rPr>
          <w:caps w:val="false"/>
          <w:smallCaps w:val="false"/>
        </w:rPr>
        <w:t> </w:t>
      </w:r>
    </w:p>
    <w:tbl>
      <w:tblPr>
        <w:tblW w:w="4784" w:type="dxa"/>
        <w:jc w:val="center"/>
        <w:tblInd w:w="0" w:type="dxa"/>
        <w:tblLayout w:type="fixed"/>
        <w:tblCellMar>
          <w:top w:w="0" w:type="dxa"/>
          <w:left w:w="0" w:type="dxa"/>
          <w:bottom w:w="28" w:type="dxa"/>
          <w:right w:w="0" w:type="dxa"/>
        </w:tblCellMar>
      </w:tblPr>
      <w:tblGrid>
        <w:gridCol w:w="2900"/>
        <w:gridCol w:w="60"/>
        <w:gridCol w:w="460"/>
        <w:gridCol w:w="1254"/>
        <w:gridCol w:w="110"/>
      </w:tblGrid>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Ended</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8" w:space="0" w:color="000000"/>
            </w:tcBorders>
            <w:vAlign w:val="center"/>
          </w:tcPr>
          <w:p>
            <w:pPr>
              <w:pStyle w:val="TableContents"/>
              <w:bidi w:val="0"/>
              <w:jc w:val="center"/>
              <w:rPr>
                <w:rFonts w:ascii="Times New Roman;Times;Serif" w:hAnsi="Times New Roman;Times;Serif"/>
              </w:rPr>
            </w:pPr>
            <w:r>
              <w:rPr>
                <w:rFonts w:ascii="Times New Roman;Times;Serif" w:hAnsi="Times New Roman;Times;Serif"/>
              </w:rPr>
              <w:t>Future</w:t>
            </w:r>
          </w:p>
          <w:p>
            <w:pPr>
              <w:pStyle w:val="TableContents"/>
              <w:bidi w:val="0"/>
              <w:spacing w:before="0" w:after="283"/>
              <w:jc w:val="center"/>
              <w:rPr>
                <w:rFonts w:ascii="Times New Roman;Times;Serif" w:hAnsi="Times New Roman;Times;Serif"/>
              </w:rPr>
            </w:pPr>
            <w:r>
              <w:rPr>
                <w:rFonts w:ascii="Times New Roman;Times;Serif" w:hAnsi="Times New Roman;Times;Serif"/>
              </w:rPr>
              <w:t>Minimum Rentals</w:t>
            </w:r>
          </w:p>
        </w:tc>
        <w:tc>
          <w:tcPr>
            <w:tcW w:w="11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 w:type="dxa"/>
            <w:tcBorders>
              <w:bottom w:val="single" w:sz="8" w:space="0" w:color="000000"/>
            </w:tcBorders>
            <w:shd w:fill="CCEEFF" w:val="clear"/>
            <w:vAlign w:val="center"/>
          </w:tcPr>
          <w:p>
            <w:pPr>
              <w:pStyle w:val="TableContents"/>
              <w:bidi w:val="0"/>
              <w:spacing w:before="0" w:after="283"/>
              <w:jc w:val="left"/>
              <w:rPr/>
            </w:pPr>
            <w:r>
              <w:rPr/>
              <w:t> </w:t>
            </w:r>
          </w:p>
        </w:tc>
        <w:tc>
          <w:tcPr>
            <w:tcW w:w="125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undiscounted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 w:type="dxa"/>
            <w:tcBorders>
              <w:bottom w:val="single" w:sz="8" w:space="0" w:color="000000"/>
            </w:tcBorders>
            <w:shd w:fill="CCEEFF" w:val="clear"/>
            <w:vAlign w:val="center"/>
          </w:tcPr>
          <w:p>
            <w:pPr>
              <w:pStyle w:val="TableContents"/>
              <w:bidi w:val="0"/>
              <w:spacing w:before="0" w:after="283"/>
              <w:jc w:val="left"/>
              <w:rPr/>
            </w:pPr>
            <w:r>
              <w:rPr/>
              <w:t> </w:t>
            </w:r>
          </w:p>
        </w:tc>
        <w:tc>
          <w:tcPr>
            <w:tcW w:w="125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party to claims, disputes, and legal proceedings arising in the ordinary course of business, including matters involving client engagements, employment, and commercial relationships. Management, after consultation with legal counsel, believes that the ultimate resolution of such matters will not have a material adverse effect on the Company’s financial position, results of operations, or cash flows. Accruals for loss contingencies are recorded when a loss is probable and the amount can be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maintained a revolving line of credit with Huntington National Bank providing for maximum borrowings of up to $300 which is secured by substantially all assets of the Company. The maturity date of the line of credit is September 5, 2029. The line of credit was repaid and terminated at the closing of the Affinity acquisition, see Note 10 – Subsequent Events below for discussion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line bore interest at a variable rate equal to the Index Rate, e.g., Wall Street Journal Prime Rate, plus a margin of 2.0%, adjusted every calendar quarter on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the first month of each quarter. The effective interest rate was 8.75% at December 31, 2025.</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balance on the line of credit was approximately $245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Concentrations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a significant portion of its revenue from insurance products written through a single insurance company. For the year ended December 31, 2025, commissions on products written through that insurance company accounted for approximately 77% of total insurance advisory revenues. This concentration reflects the Company’s strategic relationship with its primary carrier partner and does not represent dependence on a single agent or client relationship. These policies are produced by a network of multiple independent agents operating across the country, each writing policies on behalf of their respective clients. The Company maintains relationships with a range of insurance carriers. A significant amount of the Company’s revenue is derived from products purchased by individuals living in Ohio and the Company’s results depend in part on the continued service of a limited number of senior professionals whose client relationships and technical expertise are important to the business. The loss of one or more significant relationships, clients or key personnel could have a material adverse effect on the Company’s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derives a significant portion of its receivables from its wealth management fees. For the year ended December 31, 2025, the receivables on the investment service agreement through that one party accounted for approximately 78% of the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Affinity Advisory Holdings Corp., a Delaware corporation (the “Buyer”) and a wholly-owned subsidiary of Stark Novus Financial Inc. (formerly Nu Ride Inc.) (“Stark”) completed the acquisition of Affinity. The Membership Interest Purchase Agreement (the “Purchase Agreement”) for the transaction was signed on June 2, 2026. The aggregate consideration payable under the Purchase Agreement consisted of (a) a cash payment at closing of $6,720, including in respect of $338 of cash on the balance sheet of Affinity at closing; (b) 80,000 shares of Class A common stock of Stark and (c) shares of the Buyer’s common stock equal to 15% of the Buyer’s issued and outstanding shares immediately following the closing. In connection with the closing, outstanding indebtedness of Affinity, including the balance on its revolving line of credit and credit card obligations, was repaid from the cash consideration. The Sellers are also eligible to receive a contingent earnout payment of up to $1,312 (plus accrued interest), payable in up to three annual installments of approximately $437 each following the closing, subject to meeting certain insurance-writing thresholds.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September 30, 2026, the date that the financial statements were available for issuance. Based upon this review, other than the above, the Company did not identify any subsequent events that would have required adjustment or disclosure in the financial statements.</w:t>
      </w:r>
    </w:p>
    <w:p>
      <w:pPr>
        <w:pStyle w:val="TextBody"/>
        <w:bidi w:val="0"/>
        <w:spacing w:before="0" w:after="0"/>
        <w:jc w:val="center"/>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0" w:name="ex99-2.htm"/>
      <w:bookmarkStart w:id="31" w:name="ksex992"/>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and for the Six Months Ended June 30,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 and AAN WEALTH ADVISORS, LLC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Ohio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Six Months Ended June 30, 2026</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770"/>
        <w:gridCol w:w="455"/>
      </w:tblGrid>
      <w:tr>
        <w:trPr/>
        <w:tc>
          <w:tcPr>
            <w:tcW w:w="677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Unaudited Condensed Combined Financial Statements:</w:t>
            </w:r>
          </w:p>
        </w:tc>
        <w:tc>
          <w:tcPr>
            <w:tcW w:w="455" w:type="dxa"/>
            <w:tcBorders/>
            <w:shd w:fill="CCEEFF" w:val="clear"/>
            <w:vAlign w:val="center"/>
          </w:tcPr>
          <w:p>
            <w:pPr>
              <w:pStyle w:val="TableContents"/>
              <w:bidi w:val="0"/>
              <w:spacing w:before="0" w:after="283"/>
              <w:jc w:val="right"/>
              <w:rPr/>
            </w:pPr>
            <w:r>
              <w:rPr/>
              <w:t> </w:t>
            </w:r>
          </w:p>
        </w:tc>
      </w:tr>
      <w:tr>
        <w:trPr/>
        <w:tc>
          <w:tcPr>
            <w:tcW w:w="6770" w:type="dxa"/>
            <w:tcBorders/>
            <w:shd w:fill="FFFFFF" w:val="clear"/>
            <w:vAlign w:val="center"/>
          </w:tcPr>
          <w:p>
            <w:pPr>
              <w:pStyle w:val="TableContents"/>
              <w:bidi w:val="0"/>
              <w:spacing w:before="0" w:after="283"/>
              <w:jc w:val="both"/>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70" w:type="dxa"/>
            <w:tcBorders/>
            <w:shd w:fill="CCEEFF" w:val="clear"/>
            <w:vAlign w:val="center"/>
          </w:tcPr>
          <w:p>
            <w:pPr>
              <w:pStyle w:val="TableContents"/>
              <w:bidi w:val="0"/>
              <w:spacing w:before="0" w:after="283"/>
              <w:jc w:val="both"/>
              <w:rPr/>
            </w:pPr>
            <w:hyperlink w:anchor="FIN_001">
              <w:r>
                <w:rPr>
                  <w:rStyle w:val="InternetLink"/>
                  <w:rFonts w:ascii="Times New Roman;Times;Serif" w:hAnsi="Times New Roman;Times;Serif"/>
                  <w:sz w:val="20"/>
                </w:rPr>
                <w:t>Balance Sheet as of June 30, 2026</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6770" w:type="dxa"/>
            <w:tcBorders/>
            <w:shd w:fill="FFFFFF" w:val="clear"/>
            <w:vAlign w:val="center"/>
          </w:tcPr>
          <w:p>
            <w:pPr>
              <w:pStyle w:val="TableContents"/>
              <w:bidi w:val="0"/>
              <w:spacing w:before="0" w:after="283"/>
              <w:jc w:val="both"/>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70" w:type="dxa"/>
            <w:tcBorders/>
            <w:shd w:fill="CCEEFF" w:val="clear"/>
            <w:vAlign w:val="center"/>
          </w:tcPr>
          <w:p>
            <w:pPr>
              <w:pStyle w:val="TableContents"/>
              <w:bidi w:val="0"/>
              <w:spacing w:before="0" w:after="283"/>
              <w:jc w:val="both"/>
              <w:rPr/>
            </w:pPr>
            <w:hyperlink w:anchor="FIN_002">
              <w:r>
                <w:rPr>
                  <w:rStyle w:val="InternetLink"/>
                  <w:rFonts w:ascii="Times New Roman;Times;Serif" w:hAnsi="Times New Roman;Times;Serif"/>
                  <w:sz w:val="20"/>
                </w:rPr>
                <w:t>Statement of Income for the Six Months Ended June 30, 2026</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6770" w:type="dxa"/>
            <w:tcBorders/>
            <w:shd w:fill="FFFFFF" w:val="clear"/>
            <w:vAlign w:val="center"/>
          </w:tcPr>
          <w:p>
            <w:pPr>
              <w:pStyle w:val="TableContents"/>
              <w:bidi w:val="0"/>
              <w:spacing w:before="0" w:after="283"/>
              <w:jc w:val="both"/>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70" w:type="dxa"/>
            <w:tcBorders/>
            <w:shd w:fill="CCEEFF" w:val="clear"/>
            <w:vAlign w:val="center"/>
          </w:tcPr>
          <w:p>
            <w:pPr>
              <w:pStyle w:val="TableContents"/>
              <w:bidi w:val="0"/>
              <w:spacing w:before="0" w:after="283"/>
              <w:jc w:val="both"/>
              <w:rPr/>
            </w:pPr>
            <w:hyperlink w:anchor="FIN_003">
              <w:r>
                <w:rPr>
                  <w:rStyle w:val="InternetLink"/>
                  <w:rFonts w:ascii="Times New Roman;Times;Serif" w:hAnsi="Times New Roman;Times;Serif"/>
                  <w:sz w:val="20"/>
                </w:rPr>
                <w:t>Statement of Changes in Members’ Deficit for the Six Months Ended June 30, 2026</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6770" w:type="dxa"/>
            <w:tcBorders/>
            <w:shd w:fill="FFFFFF" w:val="clear"/>
            <w:vAlign w:val="center"/>
          </w:tcPr>
          <w:p>
            <w:pPr>
              <w:pStyle w:val="TableContents"/>
              <w:bidi w:val="0"/>
              <w:spacing w:before="0" w:after="283"/>
              <w:jc w:val="both"/>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70" w:type="dxa"/>
            <w:tcBorders/>
            <w:shd w:fill="CCEEFF" w:val="clear"/>
            <w:vAlign w:val="center"/>
          </w:tcPr>
          <w:p>
            <w:pPr>
              <w:pStyle w:val="TableContents"/>
              <w:bidi w:val="0"/>
              <w:spacing w:before="0" w:after="283"/>
              <w:jc w:val="both"/>
              <w:rPr/>
            </w:pPr>
            <w:hyperlink w:anchor="FIN_004">
              <w:r>
                <w:rPr>
                  <w:rStyle w:val="InternetLink"/>
                  <w:rFonts w:ascii="Times New Roman;Times;Serif" w:hAnsi="Times New Roman;Times;Serif"/>
                  <w:sz w:val="20"/>
                </w:rPr>
                <w:t>Statement of Cash Flows for the Six Months Ended June 30, 2026</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6770" w:type="dxa"/>
            <w:tcBorders/>
            <w:shd w:fill="FFFFFF" w:val="clear"/>
            <w:vAlign w:val="center"/>
          </w:tcPr>
          <w:p>
            <w:pPr>
              <w:pStyle w:val="TableContents"/>
              <w:bidi w:val="0"/>
              <w:spacing w:before="0" w:after="283"/>
              <w:jc w:val="both"/>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70" w:type="dxa"/>
            <w:tcBorders/>
            <w:shd w:fill="CCEEFF" w:val="clear"/>
            <w:vAlign w:val="center"/>
          </w:tcPr>
          <w:p>
            <w:pPr>
              <w:pStyle w:val="TableContents"/>
              <w:bidi w:val="0"/>
              <w:spacing w:before="0" w:after="283"/>
              <w:jc w:val="both"/>
              <w:rPr/>
            </w:pPr>
            <w:hyperlink w:anchor="Aa_005">
              <w:r>
                <w:rPr>
                  <w:rStyle w:val="InternetLink"/>
                  <w:rFonts w:ascii="Times New Roman;Times;Serif" w:hAnsi="Times New Roman;Times;Serif"/>
                  <w:sz w:val="20"/>
                </w:rPr>
                <w:t>Notes to Unaudited Condensed Combined Financial Statements</w:t>
              </w:r>
            </w:hyperlink>
          </w:p>
        </w:tc>
        <w:tc>
          <w:tcPr>
            <w:tcW w:w="455" w:type="dxa"/>
            <w:tcBorders/>
            <w:shd w:fill="CCEEFF" w:val="clear"/>
            <w:vAlign w:val="center"/>
          </w:tcPr>
          <w:p>
            <w:pPr>
              <w:pStyle w:val="TableContents"/>
              <w:bidi w:val="0"/>
              <w:spacing w:before="0" w:after="283"/>
              <w:jc w:val="right"/>
              <w:rPr/>
            </w:pPr>
            <w:r>
              <w:rPr/>
              <w:t>8-14</w:t>
            </w:r>
          </w:p>
        </w:tc>
      </w:tr>
    </w:tbl>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FIN_001"/>
      <w:bookmarkEnd w:id="32"/>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6194" w:type="dxa"/>
        <w:jc w:val="left"/>
        <w:tblInd w:w="0" w:type="dxa"/>
        <w:tblLayout w:type="fixed"/>
        <w:tblCellMar>
          <w:top w:w="0" w:type="dxa"/>
          <w:left w:w="0" w:type="dxa"/>
          <w:bottom w:w="28" w:type="dxa"/>
          <w:right w:w="0" w:type="dxa"/>
        </w:tblCellMar>
      </w:tblPr>
      <w:tblGrid>
        <w:gridCol w:w="4610"/>
        <w:gridCol w:w="60"/>
        <w:gridCol w:w="332"/>
        <w:gridCol w:w="1082"/>
        <w:gridCol w:w="110"/>
      </w:tblGrid>
      <w:tr>
        <w:trPr/>
        <w:tc>
          <w:tcPr>
            <w:tcW w:w="4610" w:type="dxa"/>
            <w:tcBorders>
              <w:bottom w:val="single" w:sz="8" w:space="0" w:color="000000"/>
            </w:tcBorders>
            <w:vAlign w:val="center"/>
          </w:tcPr>
          <w:p>
            <w:pPr>
              <w:pStyle w:val="TableContents"/>
              <w:bidi w:val="0"/>
              <w:spacing w:before="0" w:after="283"/>
              <w:jc w:val="left"/>
              <w:rPr>
                <w:b/>
                <w:i/>
              </w:rPr>
            </w:pPr>
            <w:r>
              <w:rPr>
                <w:b/>
                <w:i/>
              </w:rPr>
              <w:t>(in thousands)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110" w:type="dxa"/>
            <w:tcBorders/>
            <w:tcMar>
              <w:bottom w:w="0" w:type="dxa"/>
            </w:tcMar>
            <w:vAlign w:val="center"/>
          </w:tcPr>
          <w:p>
            <w:pPr>
              <w:pStyle w:val="TableContents"/>
              <w:bidi w:val="0"/>
              <w:spacing w:before="0" w:after="283"/>
              <w:jc w:val="left"/>
              <w:rPr/>
            </w:pPr>
            <w:r>
              <w:rPr/>
              <w:t> </w:t>
            </w:r>
          </w:p>
        </w:tc>
      </w:tr>
      <w:tr>
        <w:trPr/>
        <w:tc>
          <w:tcPr>
            <w:tcW w:w="46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center"/>
              <w:rPr>
                <w:b/>
              </w:rPr>
            </w:pPr>
            <w:r>
              <w:rPr>
                <w:b/>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283"/>
              <w:jc w:val="right"/>
              <w:rPr/>
            </w:pPr>
            <w:r>
              <w:rPr/>
              <w:t>133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FFFFFF" w:val="clear"/>
            <w:vAlign w:val="center"/>
          </w:tcPr>
          <w:p>
            <w:pPr>
              <w:pStyle w:val="TableContents"/>
              <w:bidi w:val="0"/>
              <w:spacing w:before="0" w:after="283"/>
              <w:jc w:val="left"/>
              <w:rPr/>
            </w:pPr>
            <w:r>
              <w:rPr/>
              <w:t> </w:t>
            </w:r>
          </w:p>
        </w:tc>
        <w:tc>
          <w:tcPr>
            <w:tcW w:w="1082" w:type="dxa"/>
            <w:tcBorders>
              <w:bottom w:val="single" w:sz="8" w:space="0" w:color="000000"/>
            </w:tcBorders>
            <w:shd w:fill="FFFFFF" w:val="clear"/>
            <w:vAlign w:val="center"/>
          </w:tcPr>
          <w:p>
            <w:pPr>
              <w:pStyle w:val="TableContents"/>
              <w:bidi w:val="0"/>
              <w:spacing w:before="0" w:after="283"/>
              <w:jc w:val="right"/>
              <w:rPr/>
            </w:pPr>
            <w:r>
              <w:rPr/>
              <w:t>260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283"/>
              <w:jc w:val="right"/>
              <w:rPr/>
            </w:pPr>
            <w:r>
              <w:rPr/>
              <w:t>393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Furniture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CCEEFF" w:val="clear"/>
            <w:vAlign w:val="center"/>
          </w:tcPr>
          <w:p>
            <w:pPr>
              <w:pStyle w:val="TableContents"/>
              <w:bidi w:val="0"/>
              <w:spacing w:before="0" w:after="283"/>
              <w:jc w:val="left"/>
              <w:rPr/>
            </w:pPr>
            <w:r>
              <w:rPr/>
              <w:t> </w:t>
            </w:r>
          </w:p>
        </w:tc>
        <w:tc>
          <w:tcPr>
            <w:tcW w:w="1082" w:type="dxa"/>
            <w:tcBorders>
              <w:bottom w:val="single" w:sz="8" w:space="0" w:color="000000"/>
            </w:tcBorders>
            <w:shd w:fill="CCEEFF" w:val="clear"/>
            <w:vAlign w:val="center"/>
          </w:tcPr>
          <w:p>
            <w:pPr>
              <w:pStyle w:val="TableContents"/>
              <w:bidi w:val="0"/>
              <w:spacing w:before="0" w:after="283"/>
              <w:jc w:val="right"/>
              <w:rPr/>
            </w:pPr>
            <w:r>
              <w:rPr/>
              <w:t>168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b/>
              </w:rPr>
            </w:pPr>
            <w:r>
              <w:rPr>
                <w:b/>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082" w:type="dxa"/>
            <w:tcBorders>
              <w:bottom w:val="double" w:sz="6" w:space="0" w:color="000000"/>
            </w:tcBorders>
            <w:shd w:fill="FFFFFF" w:val="clear"/>
            <w:vAlign w:val="center"/>
          </w:tcPr>
          <w:p>
            <w:pPr>
              <w:pStyle w:val="TableContents"/>
              <w:bidi w:val="0"/>
              <w:spacing w:before="0" w:after="283"/>
              <w:jc w:val="right"/>
              <w:rPr>
                <w:b/>
              </w:rPr>
            </w:pPr>
            <w:r>
              <w:rPr>
                <w:b/>
              </w:rPr>
              <w:t>561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center"/>
              <w:rPr>
                <w:b/>
              </w:rPr>
            </w:pPr>
            <w:r>
              <w:rPr>
                <w:b/>
              </w:rPr>
              <w:t>LIABILITIES AND MEMBERS’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w:t>
            </w:r>
          </w:p>
        </w:tc>
        <w:tc>
          <w:tcPr>
            <w:tcW w:w="1082" w:type="dxa"/>
            <w:tcBorders/>
            <w:shd w:fill="CCEEFF" w:val="clear"/>
            <w:tcMar>
              <w:bottom w:w="0" w:type="dxa"/>
            </w:tcM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Accrued expenses and 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340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Lease liabilities,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CCEEFF" w:val="clear"/>
            <w:vAlign w:val="center"/>
          </w:tcPr>
          <w:p>
            <w:pPr>
              <w:pStyle w:val="TableContents"/>
              <w:bidi w:val="0"/>
              <w:spacing w:before="0" w:after="283"/>
              <w:jc w:val="left"/>
              <w:rPr/>
            </w:pPr>
            <w:r>
              <w:rPr/>
              <w:t> </w:t>
            </w:r>
          </w:p>
        </w:tc>
        <w:tc>
          <w:tcPr>
            <w:tcW w:w="1082" w:type="dxa"/>
            <w:tcBorders>
              <w:bottom w:val="single" w:sz="8" w:space="0" w:color="000000"/>
            </w:tcBorders>
            <w:shd w:fill="CCEEFF" w:val="clear"/>
            <w:vAlign w:val="center"/>
          </w:tcPr>
          <w:p>
            <w:pPr>
              <w:pStyle w:val="TableContents"/>
              <w:bidi w:val="0"/>
              <w:spacing w:before="0" w:after="283"/>
              <w:jc w:val="right"/>
              <w:rPr/>
            </w:pPr>
            <w:r>
              <w:rPr/>
              <w:t>113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w:t>
            </w:r>
          </w:p>
        </w:tc>
        <w:tc>
          <w:tcPr>
            <w:tcW w:w="1082" w:type="dxa"/>
            <w:tcBorders/>
            <w:shd w:fill="FFFFFF" w:val="clear"/>
            <w:tcMar>
              <w:bottom w:w="0" w:type="dxa"/>
            </w:tcMar>
            <w:vAlign w:val="center"/>
          </w:tcPr>
          <w:p>
            <w:pPr>
              <w:pStyle w:val="TableContents"/>
              <w:bidi w:val="0"/>
              <w:spacing w:before="0" w:after="283"/>
              <w:jc w:val="right"/>
              <w:rPr/>
            </w:pPr>
            <w:r>
              <w:rPr/>
              <w:t>454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0"/>
              <w:ind w:left="2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 of credit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261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Lease liabilities, net of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FFFFFF" w:val="clear"/>
            <w:vAlign w:val="center"/>
          </w:tcPr>
          <w:p>
            <w:pPr>
              <w:pStyle w:val="TableContents"/>
              <w:bidi w:val="0"/>
              <w:spacing w:before="0" w:after="283"/>
              <w:jc w:val="left"/>
              <w:rPr/>
            </w:pPr>
            <w:r>
              <w:rPr/>
              <w:t> </w:t>
            </w:r>
          </w:p>
        </w:tc>
        <w:tc>
          <w:tcPr>
            <w:tcW w:w="1082" w:type="dxa"/>
            <w:tcBorders>
              <w:bottom w:val="single" w:sz="8" w:space="0" w:color="000000"/>
            </w:tcBorders>
            <w:shd w:fill="FFFFFF" w:val="clear"/>
            <w:vAlign w:val="center"/>
          </w:tcPr>
          <w:p>
            <w:pPr>
              <w:pStyle w:val="TableContents"/>
              <w:bidi w:val="0"/>
              <w:spacing w:before="0" w:after="283"/>
              <w:jc w:val="right"/>
              <w:rPr/>
            </w:pPr>
            <w:r>
              <w:rPr/>
              <w:t>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b/>
              </w:rPr>
            </w:pPr>
            <w:r>
              <w:rPr>
                <w:b/>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CCEEFF" w:val="clear"/>
            <w:vAlign w:val="center"/>
          </w:tcPr>
          <w:p>
            <w:pPr>
              <w:pStyle w:val="TableContents"/>
              <w:bidi w:val="0"/>
              <w:spacing w:before="0" w:after="283"/>
              <w:jc w:val="left"/>
              <w:rPr/>
            </w:pPr>
            <w:r>
              <w:rPr/>
              <w:t>$</w:t>
            </w:r>
          </w:p>
        </w:tc>
        <w:tc>
          <w:tcPr>
            <w:tcW w:w="1082" w:type="dxa"/>
            <w:tcBorders>
              <w:bottom w:val="single" w:sz="8" w:space="0" w:color="000000"/>
            </w:tcBorders>
            <w:shd w:fill="CCEEFF" w:val="clear"/>
            <w:vAlign w:val="center"/>
          </w:tcPr>
          <w:p>
            <w:pPr>
              <w:pStyle w:val="TableContents"/>
              <w:bidi w:val="0"/>
              <w:spacing w:before="0" w:after="283"/>
              <w:jc w:val="right"/>
              <w:rPr/>
            </w:pPr>
            <w:r>
              <w:rPr/>
              <w:t>766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Commitments and contingencies (Note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pPr>
            <w:r>
              <w:rPr/>
              <w:t>Members’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pPr>
            <w:r>
              <w:rPr/>
              <w:t>Members’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FFFFFF" w:val="clear"/>
            <w:vAlign w:val="center"/>
          </w:tcPr>
          <w:p>
            <w:pPr>
              <w:pStyle w:val="TableContents"/>
              <w:bidi w:val="0"/>
              <w:spacing w:before="0" w:after="283"/>
              <w:jc w:val="left"/>
              <w:rPr/>
            </w:pPr>
            <w:r>
              <w:rPr/>
              <w:t>$</w:t>
            </w:r>
          </w:p>
        </w:tc>
        <w:tc>
          <w:tcPr>
            <w:tcW w:w="1082" w:type="dxa"/>
            <w:tcBorders>
              <w:bottom w:val="single" w:sz="8" w:space="0" w:color="000000"/>
            </w:tcBorders>
            <w:shd w:fill="FFFFFF" w:val="clear"/>
            <w:vAlign w:val="center"/>
          </w:tcPr>
          <w:p>
            <w:pPr>
              <w:pStyle w:val="TableContents"/>
              <w:bidi w:val="0"/>
              <w:spacing w:before="0" w:after="283"/>
              <w:jc w:val="right"/>
              <w:rPr/>
            </w:pPr>
            <w:r>
              <w:rPr/>
              <w:t>(205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610" w:type="dxa"/>
            <w:tcBorders/>
            <w:shd w:fill="CCEEFF" w:val="clear"/>
            <w:tcMar>
              <w:bottom w:w="0" w:type="dxa"/>
            </w:tcMar>
            <w:vAlign w:val="center"/>
          </w:tcPr>
          <w:p>
            <w:pPr>
              <w:pStyle w:val="TableContents"/>
              <w:bidi w:val="0"/>
              <w:spacing w:before="0" w:after="283"/>
              <w:jc w:val="left"/>
              <w:rPr>
                <w:b/>
              </w:rPr>
            </w:pPr>
            <w:r>
              <w:rPr>
                <w:b/>
              </w:rPr>
              <w:t>Total members’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CCEEFF" w:val="clear"/>
            <w:vAlign w:val="center"/>
          </w:tcPr>
          <w:p>
            <w:pPr>
              <w:pStyle w:val="TableContents"/>
              <w:bidi w:val="0"/>
              <w:spacing w:before="0" w:after="283"/>
              <w:jc w:val="left"/>
              <w:rPr/>
            </w:pPr>
            <w:r>
              <w:rPr/>
              <w:t>$</w:t>
            </w:r>
          </w:p>
        </w:tc>
        <w:tc>
          <w:tcPr>
            <w:tcW w:w="1082" w:type="dxa"/>
            <w:tcBorders>
              <w:bottom w:val="single" w:sz="8" w:space="0" w:color="000000"/>
            </w:tcBorders>
            <w:shd w:fill="CCEEFF" w:val="clear"/>
            <w:vAlign w:val="center"/>
          </w:tcPr>
          <w:p>
            <w:pPr>
              <w:pStyle w:val="TableContents"/>
              <w:bidi w:val="0"/>
              <w:spacing w:before="0" w:after="283"/>
              <w:jc w:val="right"/>
              <w:rPr/>
            </w:pPr>
            <w:r>
              <w:rPr/>
              <w:t>(205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610" w:type="dxa"/>
            <w:tcBorders/>
            <w:shd w:fill="FFFFFF" w:val="clear"/>
            <w:tcMar>
              <w:bottom w:w="0" w:type="dxa"/>
            </w:tcMar>
            <w:vAlign w:val="center"/>
          </w:tcPr>
          <w:p>
            <w:pPr>
              <w:pStyle w:val="TableContents"/>
              <w:bidi w:val="0"/>
              <w:spacing w:before="0" w:after="283"/>
              <w:jc w:val="left"/>
              <w:rPr>
                <w:b/>
              </w:rPr>
            </w:pPr>
            <w:r>
              <w:rPr>
                <w:b/>
              </w:rPr>
              <w:t>Total liabilities and members’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082" w:type="dxa"/>
            <w:tcBorders>
              <w:bottom w:val="double" w:sz="6" w:space="0" w:color="000000"/>
            </w:tcBorders>
            <w:shd w:fill="FFFFFF" w:val="clear"/>
            <w:vAlign w:val="center"/>
          </w:tcPr>
          <w:p>
            <w:pPr>
              <w:pStyle w:val="TableContents"/>
              <w:bidi w:val="0"/>
              <w:spacing w:before="0" w:after="283"/>
              <w:jc w:val="right"/>
              <w:rPr>
                <w:b/>
              </w:rPr>
            </w:pPr>
            <w:r>
              <w:rPr>
                <w:b/>
              </w:rPr>
              <w:t>561</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FIN_002"/>
      <w:bookmarkEnd w:id="33"/>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Combined Statement of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3635"/>
        <w:gridCol w:w="60"/>
        <w:gridCol w:w="382"/>
        <w:gridCol w:w="1528"/>
        <w:gridCol w:w="75"/>
      </w:tblGrid>
      <w:tr>
        <w:trPr/>
        <w:tc>
          <w:tcPr>
            <w:tcW w:w="3635" w:type="dxa"/>
            <w:tcBorders>
              <w:bottom w:val="single" w:sz="8" w:space="0" w:color="000000"/>
            </w:tcBorders>
            <w:vAlign w:val="center"/>
          </w:tcPr>
          <w:p>
            <w:pPr>
              <w:pStyle w:val="TableContents"/>
              <w:bidi w:val="0"/>
              <w:spacing w:before="0" w:after="283"/>
              <w:jc w:val="left"/>
              <w:rPr>
                <w:b/>
                <w:i/>
              </w:rPr>
            </w:pPr>
            <w:r>
              <w:rPr>
                <w:b/>
                <w:i/>
              </w:rPr>
              <w:t>(in thousands)</w:t>
            </w:r>
          </w:p>
        </w:tc>
        <w:tc>
          <w:tcPr>
            <w:tcW w:w="60" w:type="dxa"/>
            <w:tcBorders/>
            <w:tcMar>
              <w:bottom w:w="0" w:type="dxa"/>
            </w:tcMar>
            <w:vAlign w:val="center"/>
          </w:tcPr>
          <w:p>
            <w:pPr>
              <w:pStyle w:val="TableContents"/>
              <w:bidi w:val="0"/>
              <w:spacing w:before="0" w:after="283"/>
              <w:jc w:val="left"/>
              <w:rPr/>
            </w:pPr>
            <w:r>
              <w:rPr/>
              <w:t> </w:t>
            </w:r>
          </w:p>
        </w:tc>
        <w:tc>
          <w:tcPr>
            <w:tcW w:w="1910" w:type="dxa"/>
            <w:gridSpan w:val="2"/>
            <w:tcBorders>
              <w:bottom w:val="single" w:sz="8" w:space="0" w:color="000000"/>
            </w:tcBorders>
            <w:vAlign w:val="center"/>
          </w:tcPr>
          <w:p>
            <w:pPr>
              <w:pStyle w:val="TableContents"/>
              <w:bidi w:val="0"/>
              <w:jc w:val="center"/>
              <w:rPr>
                <w:b/>
              </w:rPr>
            </w:pPr>
            <w:r>
              <w:rPr>
                <w:b/>
              </w:rPr>
              <w:t>For the</w:t>
            </w:r>
          </w:p>
          <w:p>
            <w:pPr>
              <w:pStyle w:val="TableContents"/>
              <w:bidi w:val="0"/>
              <w:jc w:val="center"/>
              <w:rPr>
                <w:b/>
              </w:rPr>
            </w:pPr>
            <w:r>
              <w:rPr>
                <w:b/>
              </w:rPr>
              <w:t>Six Months Ended</w:t>
            </w:r>
          </w:p>
          <w:p>
            <w:pPr>
              <w:pStyle w:val="TableContents"/>
              <w:bidi w:val="0"/>
              <w:spacing w:before="0" w:after="283"/>
              <w:jc w:val="center"/>
              <w:rPr>
                <w:b/>
              </w:rPr>
            </w:pPr>
            <w:r>
              <w:rPr>
                <w:b/>
              </w:rPr>
              <w:t>June 30, 2026</w:t>
            </w:r>
          </w:p>
        </w:tc>
        <w:tc>
          <w:tcPr>
            <w:tcW w:w="75" w:type="dxa"/>
            <w:tcBorders/>
            <w:tcMar>
              <w:bottom w:w="0" w:type="dxa"/>
            </w:tcMar>
            <w:vAlign w:val="center"/>
          </w:tcPr>
          <w:p>
            <w:pPr>
              <w:pStyle w:val="TableContents"/>
              <w:bidi w:val="0"/>
              <w:spacing w:before="0" w:after="283"/>
              <w:jc w:val="left"/>
              <w:rPr/>
            </w:pPr>
            <w:r>
              <w:rPr/>
              <w:t> </w:t>
            </w:r>
          </w:p>
        </w:tc>
      </w:tr>
      <w:tr>
        <w:trPr/>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Advisory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w:t>
            </w:r>
          </w:p>
        </w:tc>
        <w:tc>
          <w:tcPr>
            <w:tcW w:w="1528" w:type="dxa"/>
            <w:tcBorders/>
            <w:shd w:fill="FFFFFF" w:val="clear"/>
            <w:tcMar>
              <w:bottom w:w="0" w:type="dxa"/>
            </w:tcMar>
            <w:vAlign w:val="center"/>
          </w:tcPr>
          <w:p>
            <w:pPr>
              <w:pStyle w:val="TableContents"/>
              <w:bidi w:val="0"/>
              <w:spacing w:before="0" w:after="283"/>
              <w:jc w:val="right"/>
              <w:rPr/>
            </w:pPr>
            <w:r>
              <w:rPr/>
              <w:t>1,209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Wealth management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528" w:type="dxa"/>
            <w:tcBorders>
              <w:bottom w:val="single" w:sz="8" w:space="0" w:color="000000"/>
            </w:tcBorders>
            <w:shd w:fill="CCEEFF" w:val="clear"/>
            <w:vAlign w:val="center"/>
          </w:tcPr>
          <w:p>
            <w:pPr>
              <w:pStyle w:val="TableContents"/>
              <w:bidi w:val="0"/>
              <w:spacing w:before="0" w:after="283"/>
              <w:jc w:val="right"/>
              <w:rPr/>
            </w:pPr>
            <w:r>
              <w:rPr/>
              <w:t>505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Total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FFFFFF" w:val="clear"/>
            <w:vAlign w:val="center"/>
          </w:tcPr>
          <w:p>
            <w:pPr>
              <w:pStyle w:val="TableContents"/>
              <w:bidi w:val="0"/>
              <w:spacing w:before="0" w:after="283"/>
              <w:jc w:val="left"/>
              <w:rPr/>
            </w:pPr>
            <w:r>
              <w:rPr/>
              <w:t>$</w:t>
            </w:r>
          </w:p>
        </w:tc>
        <w:tc>
          <w:tcPr>
            <w:tcW w:w="1528" w:type="dxa"/>
            <w:tcBorders>
              <w:bottom w:val="single" w:sz="8" w:space="0" w:color="000000"/>
            </w:tcBorders>
            <w:shd w:fill="FFFFFF" w:val="clear"/>
            <w:vAlign w:val="center"/>
          </w:tcPr>
          <w:p>
            <w:pPr>
              <w:pStyle w:val="TableContents"/>
              <w:bidi w:val="0"/>
              <w:spacing w:before="0" w:after="283"/>
              <w:jc w:val="right"/>
              <w:rPr/>
            </w:pPr>
            <w:r>
              <w:rPr/>
              <w:t>1,714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Cost of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Professional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28" w:type="dxa"/>
            <w:tcBorders/>
            <w:shd w:fill="CCEEFF" w:val="clear"/>
            <w:tcMar>
              <w:bottom w:w="0" w:type="dxa"/>
            </w:tcMar>
            <w:vAlign w:val="center"/>
          </w:tcPr>
          <w:p>
            <w:pPr>
              <w:pStyle w:val="TableContents"/>
              <w:bidi w:val="0"/>
              <w:spacing w:before="0" w:after="283"/>
              <w:jc w:val="right"/>
              <w:rPr/>
            </w:pPr>
            <w:r>
              <w:rPr/>
              <w:t>156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Subcontractor and contract labor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FFFFFF" w:val="clear"/>
            <w:vAlign w:val="center"/>
          </w:tcPr>
          <w:p>
            <w:pPr>
              <w:pStyle w:val="TableContents"/>
              <w:bidi w:val="0"/>
              <w:spacing w:before="0" w:after="283"/>
              <w:jc w:val="left"/>
              <w:rPr/>
            </w:pPr>
            <w:r>
              <w:rPr/>
              <w:t> </w:t>
            </w:r>
          </w:p>
        </w:tc>
        <w:tc>
          <w:tcPr>
            <w:tcW w:w="1528" w:type="dxa"/>
            <w:tcBorders>
              <w:bottom w:val="single" w:sz="8" w:space="0" w:color="000000"/>
            </w:tcBorders>
            <w:shd w:fill="FFFFFF" w:val="clear"/>
            <w:vAlign w:val="center"/>
          </w:tcPr>
          <w:p>
            <w:pPr>
              <w:pStyle w:val="TableContents"/>
              <w:bidi w:val="0"/>
              <w:spacing w:before="0" w:after="283"/>
              <w:jc w:val="right"/>
              <w:rPr/>
            </w:pPr>
            <w:r>
              <w:rPr/>
              <w:t>428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Total 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w:t>
            </w:r>
          </w:p>
        </w:tc>
        <w:tc>
          <w:tcPr>
            <w:tcW w:w="1528" w:type="dxa"/>
            <w:tcBorders>
              <w:bottom w:val="single" w:sz="8" w:space="0" w:color="000000"/>
            </w:tcBorders>
            <w:shd w:fill="CCEEFF" w:val="clear"/>
            <w:vAlign w:val="center"/>
          </w:tcPr>
          <w:p>
            <w:pPr>
              <w:pStyle w:val="TableContents"/>
              <w:bidi w:val="0"/>
              <w:spacing w:before="0" w:after="283"/>
              <w:jc w:val="right"/>
              <w:rPr/>
            </w:pPr>
            <w:r>
              <w:rPr/>
              <w:t>584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w:t>
            </w:r>
          </w:p>
        </w:tc>
        <w:tc>
          <w:tcPr>
            <w:tcW w:w="1528" w:type="dxa"/>
            <w:tcBorders/>
            <w:shd w:fill="FFFFFF" w:val="clear"/>
            <w:tcMar>
              <w:bottom w:w="0" w:type="dxa"/>
            </w:tcMar>
            <w:vAlign w:val="center"/>
          </w:tcPr>
          <w:p>
            <w:pPr>
              <w:pStyle w:val="TableContents"/>
              <w:bidi w:val="0"/>
              <w:spacing w:before="0" w:after="283"/>
              <w:jc w:val="right"/>
              <w:rPr/>
            </w:pPr>
            <w:r>
              <w:rPr/>
              <w:t>1,130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28" w:type="dxa"/>
            <w:tcBorders/>
            <w:shd w:fill="CCEEFF" w:val="clear"/>
            <w:tcMar>
              <w:bottom w:w="0" w:type="dxa"/>
            </w:tcMar>
            <w:vAlign w:val="center"/>
          </w:tcPr>
          <w:p>
            <w:pPr>
              <w:pStyle w:val="TableContents"/>
              <w:bidi w:val="0"/>
              <w:spacing w:before="0" w:after="283"/>
              <w:jc w:val="right"/>
              <w:rPr/>
            </w:pPr>
            <w:r>
              <w:rPr/>
              <w:t>479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Occupancy and facilities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Marketing and advertising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528" w:type="dxa"/>
            <w:tcBorders>
              <w:bottom w:val="single" w:sz="8" w:space="0" w:color="000000"/>
            </w:tcBorders>
            <w:shd w:fill="CCEEFF" w:val="clear"/>
            <w:vAlign w:val="center"/>
          </w:tcPr>
          <w:p>
            <w:pPr>
              <w:pStyle w:val="TableContents"/>
              <w:bidi w:val="0"/>
              <w:spacing w:before="0" w:after="283"/>
              <w:jc w:val="right"/>
              <w:rPr/>
            </w:pPr>
            <w:r>
              <w:rPr/>
              <w:t>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FFFFFF" w:val="clear"/>
            <w:vAlign w:val="center"/>
          </w:tcPr>
          <w:p>
            <w:pPr>
              <w:pStyle w:val="TableContents"/>
              <w:bidi w:val="0"/>
              <w:spacing w:before="0" w:after="283"/>
              <w:jc w:val="left"/>
              <w:rPr/>
            </w:pPr>
            <w:r>
              <w:rPr/>
              <w:t>$</w:t>
            </w:r>
          </w:p>
        </w:tc>
        <w:tc>
          <w:tcPr>
            <w:tcW w:w="1528" w:type="dxa"/>
            <w:tcBorders>
              <w:bottom w:val="single" w:sz="8" w:space="0" w:color="000000"/>
            </w:tcBorders>
            <w:shd w:fill="FFFFFF" w:val="clear"/>
            <w:vAlign w:val="center"/>
          </w:tcPr>
          <w:p>
            <w:pPr>
              <w:pStyle w:val="TableContents"/>
              <w:bidi w:val="0"/>
              <w:spacing w:before="0" w:after="283"/>
              <w:jc w:val="right"/>
              <w:rPr/>
            </w:pPr>
            <w:r>
              <w:rPr/>
              <w:t>589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Income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w:t>
            </w:r>
          </w:p>
        </w:tc>
        <w:tc>
          <w:tcPr>
            <w:tcW w:w="1528" w:type="dxa"/>
            <w:tcBorders/>
            <w:shd w:fill="FFFFFF" w:val="clear"/>
            <w:tcMar>
              <w:bottom w:w="0" w:type="dxa"/>
            </w:tcMar>
            <w:vAlign w:val="center"/>
          </w:tcPr>
          <w:p>
            <w:pPr>
              <w:pStyle w:val="TableContents"/>
              <w:bidi w:val="0"/>
              <w:spacing w:before="0" w:after="283"/>
              <w:jc w:val="right"/>
              <w:rPr/>
            </w:pPr>
            <w:r>
              <w:rPr/>
              <w:t>541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2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Other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28" w:type="dxa"/>
            <w:tcBorders/>
            <w:shd w:fill="CCEEFF" w:val="clear"/>
            <w:tcMar>
              <w:bottom w:w="0" w:type="dxa"/>
            </w:tcM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Other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FFFFFF" w:val="clear"/>
            <w:vAlign w:val="center"/>
          </w:tcPr>
          <w:p>
            <w:pPr>
              <w:pStyle w:val="TableContents"/>
              <w:bidi w:val="0"/>
              <w:spacing w:before="0" w:after="283"/>
              <w:jc w:val="left"/>
              <w:rPr/>
            </w:pPr>
            <w:r>
              <w:rPr/>
              <w:t> </w:t>
            </w:r>
          </w:p>
        </w:tc>
        <w:tc>
          <w:tcPr>
            <w:tcW w:w="1528" w:type="dxa"/>
            <w:tcBorders>
              <w:bottom w:val="single" w:sz="8" w:space="0" w:color="000000"/>
            </w:tcBorders>
            <w:shd w:fill="FFFFFF" w:val="clear"/>
            <w:vAlign w:val="center"/>
          </w:tcPr>
          <w:p>
            <w:pPr>
              <w:pStyle w:val="TableContents"/>
              <w:bidi w:val="0"/>
              <w:spacing w:before="0" w:after="283"/>
              <w:jc w:val="right"/>
              <w:rPr/>
            </w:pPr>
            <w:r>
              <w:rPr/>
              <w:t>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Total other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w:t>
            </w:r>
          </w:p>
        </w:tc>
        <w:tc>
          <w:tcPr>
            <w:tcW w:w="1528" w:type="dxa"/>
            <w:tcBorders>
              <w:bottom w:val="single" w:sz="8" w:space="0" w:color="000000"/>
            </w:tcBorders>
            <w:shd w:fill="CCEEFF" w:val="clear"/>
            <w:vAlign w:val="center"/>
          </w:tcPr>
          <w:p>
            <w:pPr>
              <w:pStyle w:val="TableContents"/>
              <w:bidi w:val="0"/>
              <w:spacing w:before="0" w:after="283"/>
              <w:jc w:val="right"/>
              <w:rPr/>
            </w:pPr>
            <w:r>
              <w:rPr/>
              <w:t>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2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35" w:type="dxa"/>
            <w:tcBorders/>
            <w:shd w:fill="CCEEFF" w:val="clear"/>
            <w:tcMar>
              <w:bottom w:w="0" w:type="dxa"/>
            </w:tcMar>
            <w:vAlign w:val="center"/>
          </w:tcPr>
          <w:p>
            <w:pPr>
              <w:pStyle w:val="TableContents"/>
              <w:bidi w:val="0"/>
              <w:spacing w:before="0" w:after="283"/>
              <w:jc w:val="left"/>
              <w:rPr/>
            </w:pPr>
            <w:r>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CCEEFF" w:val="clear"/>
            <w:vAlign w:val="center"/>
          </w:tcPr>
          <w:p>
            <w:pPr>
              <w:pStyle w:val="TableContents"/>
              <w:bidi w:val="0"/>
              <w:spacing w:before="0" w:after="283"/>
              <w:jc w:val="left"/>
              <w:rPr/>
            </w:pPr>
            <w:r>
              <w:rPr/>
              <w:t>$</w:t>
            </w:r>
          </w:p>
        </w:tc>
        <w:tc>
          <w:tcPr>
            <w:tcW w:w="1528" w:type="dxa"/>
            <w:tcBorders>
              <w:bottom w:val="double" w:sz="6" w:space="0" w:color="000000"/>
            </w:tcBorders>
            <w:shd w:fill="CCEEFF" w:val="clear"/>
            <w:vAlign w:val="center"/>
          </w:tcPr>
          <w:p>
            <w:pPr>
              <w:pStyle w:val="TableContents"/>
              <w:bidi w:val="0"/>
              <w:spacing w:before="0" w:after="283"/>
              <w:jc w:val="right"/>
              <w:rPr/>
            </w:pPr>
            <w:r>
              <w:rPr/>
              <w:t>483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FIN_003"/>
      <w:bookmarkEnd w:id="34"/>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Combined Statement of Changes in Members’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pPr>
      <w:r>
        <w:rPr/>
        <w:t> </w:t>
      </w:r>
    </w:p>
    <w:tbl>
      <w:tblPr>
        <w:tblW w:w="5180" w:type="dxa"/>
        <w:jc w:val="left"/>
        <w:tblInd w:w="0" w:type="dxa"/>
        <w:tblLayout w:type="fixed"/>
        <w:tblCellMar>
          <w:top w:w="0" w:type="dxa"/>
          <w:left w:w="0" w:type="dxa"/>
          <w:bottom w:w="28" w:type="dxa"/>
          <w:right w:w="0" w:type="dxa"/>
        </w:tblCellMar>
      </w:tblPr>
      <w:tblGrid>
        <w:gridCol w:w="3095"/>
        <w:gridCol w:w="60"/>
        <w:gridCol w:w="140"/>
        <w:gridCol w:w="1775"/>
        <w:gridCol w:w="110"/>
      </w:tblGrid>
      <w:tr>
        <w:trPr/>
        <w:tc>
          <w:tcPr>
            <w:tcW w:w="5180" w:type="dxa"/>
            <w:gridSpan w:val="5"/>
            <w:tcBorders>
              <w:bottom w:val="single" w:sz="8" w:space="0" w:color="000000"/>
            </w:tcBorders>
            <w:vAlign w:val="center"/>
          </w:tcPr>
          <w:p>
            <w:pPr>
              <w:pStyle w:val="TableContents"/>
              <w:bidi w:val="0"/>
              <w:spacing w:before="0" w:after="283"/>
              <w:jc w:val="center"/>
              <w:rPr>
                <w:b/>
              </w:rPr>
            </w:pPr>
            <w:r>
              <w:rPr>
                <w:b/>
              </w:rPr>
              <w:t>For the Six Months Ended June 30, 2026</w:t>
            </w:r>
          </w:p>
        </w:tc>
      </w:tr>
      <w:tr>
        <w:trPr/>
        <w:tc>
          <w:tcPr>
            <w:tcW w:w="30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5"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3095" w:type="dxa"/>
            <w:tcBorders>
              <w:bottom w:val="single" w:sz="8" w:space="0" w:color="000000"/>
            </w:tcBorders>
            <w:shd w:fill="FFFFFF" w:val="clear"/>
            <w:vAlign w:val="center"/>
          </w:tcPr>
          <w:p>
            <w:pPr>
              <w:pStyle w:val="TableContents"/>
              <w:bidi w:val="0"/>
              <w:spacing w:before="0" w:after="283"/>
              <w:jc w:val="left"/>
              <w:rPr>
                <w:b/>
                <w:i/>
              </w:rPr>
            </w:pPr>
            <w:r>
              <w:rPr>
                <w:b/>
                <w:i/>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shd w:fill="FFFFFF" w:val="clear"/>
            <w:vAlign w:val="center"/>
          </w:tcPr>
          <w:p>
            <w:pPr>
              <w:pStyle w:val="TableContents"/>
              <w:bidi w:val="0"/>
              <w:jc w:val="center"/>
              <w:rPr>
                <w:b/>
              </w:rPr>
            </w:pPr>
            <w:r>
              <w:rPr>
                <w:b/>
              </w:rPr>
              <w:t>Total</w:t>
            </w:r>
          </w:p>
          <w:p>
            <w:pPr>
              <w:pStyle w:val="TableContents"/>
              <w:bidi w:val="0"/>
              <w:spacing w:before="0" w:after="283"/>
              <w:jc w:val="center"/>
              <w:rPr>
                <w:b/>
              </w:rPr>
            </w:pPr>
            <w:r>
              <w:rPr>
                <w:b/>
              </w:rPr>
              <w:t>Members’ Deficit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b/>
              </w:rPr>
            </w:pPr>
            <w:r>
              <w:rPr>
                <w:b/>
              </w:rPr>
              <w:t>Balance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775" w:type="dxa"/>
            <w:tcBorders/>
            <w:shd w:fill="CCEEFF" w:val="clear"/>
            <w:tcMar>
              <w:bottom w:w="0" w:type="dxa"/>
            </w:tcMar>
            <w:vAlign w:val="center"/>
          </w:tcPr>
          <w:p>
            <w:pPr>
              <w:pStyle w:val="TableContents"/>
              <w:bidi w:val="0"/>
              <w:spacing w:before="0" w:after="283"/>
              <w:jc w:val="right"/>
              <w:rPr/>
            </w:pPr>
            <w:r>
              <w:rPr/>
              <w:t>(360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pPr>
            <w:r>
              <w:rPr/>
              <w:t>Members’ draw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283"/>
              <w:jc w:val="right"/>
              <w:rPr/>
            </w:pPr>
            <w:r>
              <w:rPr/>
              <w:t>(328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095"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775" w:type="dxa"/>
            <w:tcBorders>
              <w:bottom w:val="single" w:sz="8" w:space="0" w:color="000000"/>
            </w:tcBorders>
            <w:shd w:fill="FFFFFF" w:val="clear"/>
            <w:vAlign w:val="center"/>
          </w:tcPr>
          <w:p>
            <w:pPr>
              <w:pStyle w:val="TableContents"/>
              <w:bidi w:val="0"/>
              <w:spacing w:before="0" w:after="283"/>
              <w:jc w:val="right"/>
              <w:rPr/>
            </w:pPr>
            <w:r>
              <w:rPr/>
              <w:t>483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b/>
              </w:rPr>
            </w:pPr>
            <w:r>
              <w:rPr>
                <w:b/>
              </w:rPr>
              <w:t>Balance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775" w:type="dxa"/>
            <w:tcBorders>
              <w:bottom w:val="double" w:sz="6" w:space="0" w:color="000000"/>
            </w:tcBorders>
            <w:shd w:fill="CCEEFF" w:val="clear"/>
            <w:vAlign w:val="center"/>
          </w:tcPr>
          <w:p>
            <w:pPr>
              <w:pStyle w:val="TableContents"/>
              <w:bidi w:val="0"/>
              <w:spacing w:before="0" w:after="283"/>
              <w:jc w:val="right"/>
              <w:rPr/>
            </w:pPr>
            <w:r>
              <w:rPr/>
              <w:t>(205</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FIN_004"/>
      <w:bookmarkEnd w:id="35"/>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Combined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9329" w:type="dxa"/>
        <w:jc w:val="left"/>
        <w:tblInd w:w="0" w:type="dxa"/>
        <w:tblLayout w:type="fixed"/>
        <w:tblCellMar>
          <w:top w:w="0" w:type="dxa"/>
          <w:left w:w="0" w:type="dxa"/>
          <w:bottom w:w="28" w:type="dxa"/>
          <w:right w:w="0" w:type="dxa"/>
        </w:tblCellMar>
      </w:tblPr>
      <w:tblGrid>
        <w:gridCol w:w="7625"/>
        <w:gridCol w:w="60"/>
        <w:gridCol w:w="360"/>
        <w:gridCol w:w="1174"/>
        <w:gridCol w:w="110"/>
      </w:tblGrid>
      <w:tr>
        <w:trPr/>
        <w:tc>
          <w:tcPr>
            <w:tcW w:w="7625" w:type="dxa"/>
            <w:tcBorders>
              <w:bottom w:val="single" w:sz="8" w:space="0" w:color="000000"/>
            </w:tcBorders>
            <w:vAlign w:val="center"/>
          </w:tcPr>
          <w:p>
            <w:pPr>
              <w:pStyle w:val="TableContents"/>
              <w:bidi w:val="0"/>
              <w:spacing w:before="0" w:after="283"/>
              <w:jc w:val="left"/>
              <w:rPr>
                <w:b/>
                <w:i/>
              </w:rPr>
            </w:pPr>
            <w:r>
              <w:rPr>
                <w:b/>
                <w:i/>
              </w:rPr>
              <w:t>(in thousands)</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jc w:val="center"/>
              <w:rPr>
                <w:b/>
              </w:rPr>
            </w:pPr>
            <w:r>
              <w:rPr>
                <w:b/>
              </w:rPr>
              <w:t>For the Six</w:t>
            </w:r>
          </w:p>
          <w:p>
            <w:pPr>
              <w:pStyle w:val="TableContents"/>
              <w:bidi w:val="0"/>
              <w:jc w:val="center"/>
              <w:rPr>
                <w:b/>
              </w:rPr>
            </w:pPr>
            <w:r>
              <w:rPr>
                <w:b/>
              </w:rPr>
              <w:t>Months Ended</w:t>
            </w:r>
          </w:p>
          <w:p>
            <w:pPr>
              <w:pStyle w:val="TableContents"/>
              <w:bidi w:val="0"/>
              <w:spacing w:before="0" w:after="283"/>
              <w:jc w:val="center"/>
              <w:rPr>
                <w:b/>
              </w:rPr>
            </w:pPr>
            <w:r>
              <w:rPr>
                <w:b/>
              </w:rPr>
              <w:t>June 30, 2026</w:t>
            </w:r>
          </w:p>
        </w:tc>
        <w:tc>
          <w:tcPr>
            <w:tcW w:w="110" w:type="dxa"/>
            <w:tcBorders/>
            <w:tcMar>
              <w:bottom w:w="0" w:type="dxa"/>
            </w:tcMar>
            <w:vAlign w:val="center"/>
          </w:tcPr>
          <w:p>
            <w:pPr>
              <w:pStyle w:val="TableContents"/>
              <w:bidi w:val="0"/>
              <w:spacing w:before="0" w:after="283"/>
              <w:jc w:val="left"/>
              <w:rPr/>
            </w:pPr>
            <w:r>
              <w:rPr/>
              <w:t> </w:t>
            </w:r>
          </w:p>
        </w:tc>
      </w:tr>
      <w:tr>
        <w:trPr/>
        <w:tc>
          <w:tcPr>
            <w:tcW w:w="7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b/>
              </w:rPr>
            </w:pPr>
            <w:r>
              <w:rPr>
                <w:b/>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w:t>
            </w:r>
          </w:p>
        </w:tc>
        <w:tc>
          <w:tcPr>
            <w:tcW w:w="1174" w:type="dxa"/>
            <w:tcBorders/>
            <w:shd w:fill="FFFFFF" w:val="clear"/>
            <w:tcMar>
              <w:bottom w:w="0" w:type="dxa"/>
            </w:tcMar>
            <w:vAlign w:val="center"/>
          </w:tcPr>
          <w:p>
            <w:pPr>
              <w:pStyle w:val="TableContents"/>
              <w:bidi w:val="0"/>
              <w:spacing w:before="0" w:after="283"/>
              <w:jc w:val="right"/>
              <w:rPr/>
            </w:pPr>
            <w:r>
              <w:rPr/>
              <w:t>483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Adjustments to reconcile net income to net cash provided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Non-cash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48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Change in operating assets and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54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Accrued expenses and 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(238</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625" w:type="dxa"/>
            <w:tcBorders/>
            <w:shd w:fill="CCEEFF" w:val="clear"/>
            <w:tcMar>
              <w:bottom w:w="0" w:type="dxa"/>
            </w:tcMar>
            <w:vAlign w:val="center"/>
          </w:tcPr>
          <w:p>
            <w:pPr>
              <w:pStyle w:val="TableContents"/>
              <w:bidi w:val="0"/>
              <w:spacing w:before="0" w:after="283"/>
              <w:jc w:val="left"/>
              <w:rPr/>
            </w:pPr>
            <w:r>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bottom w:val="single" w:sz="8" w:space="0" w:color="000000"/>
            </w:tcBorders>
            <w:shd w:fill="CCEEFF" w:val="clear"/>
            <w:vAlign w:val="center"/>
          </w:tcPr>
          <w:p>
            <w:pPr>
              <w:pStyle w:val="TableContents"/>
              <w:bidi w:val="0"/>
              <w:spacing w:before="0" w:after="283"/>
              <w:jc w:val="left"/>
              <w:rPr/>
            </w:pPr>
            <w:r>
              <w:rPr/>
              <w:t> </w:t>
            </w:r>
          </w:p>
        </w:tc>
        <w:tc>
          <w:tcPr>
            <w:tcW w:w="1174" w:type="dxa"/>
            <w:tcBorders>
              <w:bottom w:val="single" w:sz="8" w:space="0" w:color="000000"/>
            </w:tcBorders>
            <w:shd w:fill="CCEEFF" w:val="clear"/>
            <w:vAlign w:val="center"/>
          </w:tcPr>
          <w:p>
            <w:pPr>
              <w:pStyle w:val="TableContents"/>
              <w:bidi w:val="0"/>
              <w:spacing w:before="0" w:after="283"/>
              <w:jc w:val="right"/>
              <w:rPr/>
            </w:pPr>
            <w:r>
              <w:rPr/>
              <w:t>(49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625" w:type="dxa"/>
            <w:tcBorders/>
            <w:shd w:fill="FFFFFF" w:val="clear"/>
            <w:tcMar>
              <w:bottom w:w="0" w:type="dxa"/>
            </w:tcMar>
            <w:vAlign w:val="center"/>
          </w:tcPr>
          <w:p>
            <w:pPr>
              <w:pStyle w:val="TableContents"/>
              <w:bidi w:val="0"/>
              <w:spacing w:before="0" w:after="283"/>
              <w:jc w:val="left"/>
              <w:rPr/>
            </w:pPr>
            <w:r>
              <w:rPr/>
              <w:t>Net cash provided by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bottom w:val="single" w:sz="8" w:space="0" w:color="000000"/>
            </w:tcBorders>
            <w:shd w:fill="FFFFFF" w:val="clear"/>
            <w:vAlign w:val="center"/>
          </w:tcPr>
          <w:p>
            <w:pPr>
              <w:pStyle w:val="TableContents"/>
              <w:bidi w:val="0"/>
              <w:spacing w:before="0" w:after="283"/>
              <w:jc w:val="left"/>
              <w:rPr/>
            </w:pPr>
            <w:r>
              <w:rPr/>
              <w:t>$</w:t>
            </w:r>
          </w:p>
        </w:tc>
        <w:tc>
          <w:tcPr>
            <w:tcW w:w="1174" w:type="dxa"/>
            <w:tcBorders>
              <w:bottom w:val="single" w:sz="8" w:space="0" w:color="000000"/>
            </w:tcBorders>
            <w:shd w:fill="FFFFFF" w:val="clear"/>
            <w:vAlign w:val="center"/>
          </w:tcPr>
          <w:p>
            <w:pPr>
              <w:pStyle w:val="TableContents"/>
              <w:bidi w:val="0"/>
              <w:spacing w:before="0" w:after="283"/>
              <w:jc w:val="right"/>
              <w:rPr/>
            </w:pPr>
            <w:r>
              <w:rPr/>
              <w:t>299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b/>
              </w:rPr>
            </w:pPr>
            <w:r>
              <w:rPr>
                <w:b/>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Line of credit,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Line of credit, repayments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625" w:type="dxa"/>
            <w:tcBorders/>
            <w:shd w:fill="CCEEFF" w:val="clear"/>
            <w:tcMar>
              <w:bottom w:w="0" w:type="dxa"/>
            </w:tcMar>
            <w:vAlign w:val="center"/>
          </w:tcPr>
          <w:p>
            <w:pPr>
              <w:pStyle w:val="TableContents"/>
              <w:bidi w:val="0"/>
              <w:spacing w:before="0" w:after="283"/>
              <w:jc w:val="left"/>
              <w:rPr/>
            </w:pPr>
            <w:r>
              <w:rPr/>
              <w:t>Members’ draw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bottom w:val="single" w:sz="8" w:space="0" w:color="000000"/>
            </w:tcBorders>
            <w:shd w:fill="CCEEFF" w:val="clear"/>
            <w:vAlign w:val="center"/>
          </w:tcPr>
          <w:p>
            <w:pPr>
              <w:pStyle w:val="TableContents"/>
              <w:bidi w:val="0"/>
              <w:spacing w:before="0" w:after="283"/>
              <w:jc w:val="left"/>
              <w:rPr/>
            </w:pPr>
            <w:r>
              <w:rPr/>
              <w:t> </w:t>
            </w:r>
          </w:p>
        </w:tc>
        <w:tc>
          <w:tcPr>
            <w:tcW w:w="1174" w:type="dxa"/>
            <w:tcBorders>
              <w:bottom w:val="single" w:sz="8" w:space="0" w:color="000000"/>
            </w:tcBorders>
            <w:shd w:fill="CCEEFF" w:val="clear"/>
            <w:vAlign w:val="center"/>
          </w:tcPr>
          <w:p>
            <w:pPr>
              <w:pStyle w:val="TableContents"/>
              <w:bidi w:val="0"/>
              <w:spacing w:before="0" w:after="283"/>
              <w:jc w:val="right"/>
              <w:rPr/>
            </w:pPr>
            <w:r>
              <w:rPr/>
              <w:t>(328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625" w:type="dxa"/>
            <w:tcBorders/>
            <w:shd w:fill="FFFFFF" w:val="clear"/>
            <w:tcMar>
              <w:bottom w:w="0" w:type="dxa"/>
            </w:tcMar>
            <w:vAlign w:val="center"/>
          </w:tcPr>
          <w:p>
            <w:pPr>
              <w:pStyle w:val="TableContents"/>
              <w:bidi w:val="0"/>
              <w:spacing w:before="0" w:after="283"/>
              <w:jc w:val="left"/>
              <w:rPr/>
            </w:pPr>
            <w:r>
              <w:rPr/>
              <w:t>Net cash used in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bottom w:val="single" w:sz="8" w:space="0" w:color="000000"/>
            </w:tcBorders>
            <w:shd w:fill="FFFFFF" w:val="clear"/>
            <w:vAlign w:val="center"/>
          </w:tcPr>
          <w:p>
            <w:pPr>
              <w:pStyle w:val="TableContents"/>
              <w:bidi w:val="0"/>
              <w:spacing w:before="0" w:after="283"/>
              <w:jc w:val="left"/>
              <w:rPr/>
            </w:pPr>
            <w:r>
              <w:rPr/>
              <w:t>$</w:t>
            </w:r>
          </w:p>
        </w:tc>
        <w:tc>
          <w:tcPr>
            <w:tcW w:w="1174" w:type="dxa"/>
            <w:tcBorders>
              <w:bottom w:val="single" w:sz="8" w:space="0" w:color="000000"/>
            </w:tcBorders>
            <w:shd w:fill="FFFFFF" w:val="clear"/>
            <w:vAlign w:val="center"/>
          </w:tcPr>
          <w:p>
            <w:pPr>
              <w:pStyle w:val="TableContents"/>
              <w:bidi w:val="0"/>
              <w:spacing w:before="0" w:after="283"/>
              <w:jc w:val="right"/>
              <w:rPr/>
            </w:pPr>
            <w:r>
              <w:rPr/>
              <w:t>(312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6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Net change during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(13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625" w:type="dxa"/>
            <w:tcBorders/>
            <w:shd w:fill="FFFFFF" w:val="clear"/>
            <w:tcMar>
              <w:bottom w:w="0" w:type="dxa"/>
            </w:tcMar>
            <w:vAlign w:val="center"/>
          </w:tcPr>
          <w:p>
            <w:pPr>
              <w:pStyle w:val="TableContents"/>
              <w:bidi w:val="0"/>
              <w:spacing w:before="0" w:after="283"/>
              <w:jc w:val="left"/>
              <w:rPr/>
            </w:pPr>
            <w:r>
              <w:rPr/>
              <w:t>Balance, beginning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bottom w:val="single" w:sz="8" w:space="0" w:color="000000"/>
            </w:tcBorders>
            <w:shd w:fill="FFFFFF" w:val="clear"/>
            <w:vAlign w:val="center"/>
          </w:tcPr>
          <w:p>
            <w:pPr>
              <w:pStyle w:val="TableContents"/>
              <w:bidi w:val="0"/>
              <w:spacing w:before="0" w:after="283"/>
              <w:jc w:val="left"/>
              <w:rPr/>
            </w:pPr>
            <w:r>
              <w:rPr/>
              <w:t> </w:t>
            </w:r>
          </w:p>
        </w:tc>
        <w:tc>
          <w:tcPr>
            <w:tcW w:w="1174" w:type="dxa"/>
            <w:tcBorders>
              <w:bottom w:val="single" w:sz="8" w:space="0" w:color="000000"/>
            </w:tcBorders>
            <w:shd w:fill="FFFFFF" w:val="clear"/>
            <w:vAlign w:val="center"/>
          </w:tcPr>
          <w:p>
            <w:pPr>
              <w:pStyle w:val="TableContents"/>
              <w:bidi w:val="0"/>
              <w:spacing w:before="0" w:after="283"/>
              <w:jc w:val="right"/>
              <w:rPr/>
            </w:pPr>
            <w:r>
              <w:rPr/>
              <w:t>146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pPr>
            <w:r>
              <w:rPr/>
              <w:t>Balance,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bottom w:val="double" w:sz="6" w:space="0" w:color="000000"/>
            </w:tcBorders>
            <w:shd w:fill="CCEEFF" w:val="clear"/>
            <w:vAlign w:val="center"/>
          </w:tcPr>
          <w:p>
            <w:pPr>
              <w:pStyle w:val="TableContents"/>
              <w:bidi w:val="0"/>
              <w:spacing w:before="0" w:after="283"/>
              <w:jc w:val="left"/>
              <w:rPr/>
            </w:pPr>
            <w:r>
              <w:rPr/>
              <w:t>$</w:t>
            </w:r>
          </w:p>
        </w:tc>
        <w:tc>
          <w:tcPr>
            <w:tcW w:w="1174" w:type="dxa"/>
            <w:tcBorders>
              <w:bottom w:val="double" w:sz="6" w:space="0" w:color="000000"/>
            </w:tcBorders>
            <w:shd w:fill="CCEEFF" w:val="clear"/>
            <w:vAlign w:val="center"/>
          </w:tcPr>
          <w:p>
            <w:pPr>
              <w:pStyle w:val="TableContents"/>
              <w:bidi w:val="0"/>
              <w:spacing w:before="0" w:after="283"/>
              <w:jc w:val="right"/>
              <w:rPr/>
            </w:pPr>
            <w:r>
              <w:rPr/>
              <w:t>133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25" w:type="dxa"/>
            <w:tcBorders/>
            <w:shd w:fill="CCEEFF" w:val="clear"/>
            <w:tcMar>
              <w:bottom w:w="0" w:type="dxa"/>
            </w:tcMar>
            <w:vAlign w:val="center"/>
          </w:tcPr>
          <w:p>
            <w:pPr>
              <w:pStyle w:val="TableContents"/>
              <w:bidi w:val="0"/>
              <w:spacing w:before="0" w:after="283"/>
              <w:jc w:val="left"/>
              <w:rPr>
                <w:b/>
              </w:rPr>
            </w:pPr>
            <w:r>
              <w:rPr>
                <w:b/>
              </w:rPr>
              <w:t>Supplemental cash flow 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0" w:type="dxa"/>
            <w:tcBorders>
              <w:bottom w:val="single" w:sz="8" w:space="0" w:color="000000"/>
            </w:tcBorders>
            <w:shd w:fill="CCEEFF" w:val="clear"/>
            <w:vAlign w:val="center"/>
          </w:tcPr>
          <w:p>
            <w:pPr>
              <w:pStyle w:val="TableContents"/>
              <w:bidi w:val="0"/>
              <w:spacing w:before="0" w:after="283"/>
              <w:jc w:val="left"/>
              <w:rPr/>
            </w:pPr>
            <w:r>
              <w:rPr/>
              <w:t> </w:t>
            </w:r>
          </w:p>
        </w:tc>
        <w:tc>
          <w:tcPr>
            <w:tcW w:w="1174"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625" w:type="dxa"/>
            <w:tcBorders/>
            <w:shd w:fill="FFFFFF" w:val="clear"/>
            <w:tcMar>
              <w:bottom w:w="0" w:type="dxa"/>
            </w:tcMar>
            <w:vAlign w:val="center"/>
          </w:tcPr>
          <w:p>
            <w:pPr>
              <w:pStyle w:val="TableContents"/>
              <w:bidi w:val="0"/>
              <w:spacing w:before="0" w:after="283"/>
              <w:jc w:val="left"/>
              <w:rPr/>
            </w:pPr>
            <w:r>
              <w:rPr/>
              <w:t>Cash paid for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vAlign w:val="center"/>
          </w:tcPr>
          <w:p>
            <w:pPr>
              <w:pStyle w:val="TableContents"/>
              <w:bidi w:val="0"/>
              <w:spacing w:before="0" w:after="283"/>
              <w:jc w:val="left"/>
              <w:rPr/>
            </w:pPr>
            <w:r>
              <w:rPr/>
              <w:t>$</w:t>
            </w:r>
          </w:p>
        </w:tc>
        <w:tc>
          <w:tcPr>
            <w:tcW w:w="1174" w:type="dxa"/>
            <w:tcBorders>
              <w:bottom w:val="double" w:sz="6" w:space="0" w:color="000000"/>
            </w:tcBorders>
            <w:shd w:fill="FFFFFF" w:val="clear"/>
            <w:vAlign w:val="center"/>
          </w:tcPr>
          <w:p>
            <w:pPr>
              <w:pStyle w:val="TableContents"/>
              <w:bidi w:val="0"/>
              <w:spacing w:before="0" w:after="283"/>
              <w:jc w:val="right"/>
              <w:rPr/>
            </w:pPr>
            <w:r>
              <w:rPr/>
              <w:t>21</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a_005"/>
      <w:bookmarkEnd w:id="36"/>
      <w:r>
        <w:rPr>
          <w:rFonts w:ascii="Times New Roman;Times;Serif" w:hAnsi="Times New Roman;Times;Serif"/>
          <w:b/>
          <w:i w:val="false"/>
          <w:caps w:val="false"/>
          <w:smallCaps w:val="false"/>
          <w:sz w:val="20"/>
        </w:rPr>
        <w:t>Affinity Advisory Network, LLC and AAN Wealth Advisors,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Combined Financial Statements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Affinity Advisory Network, LLC and AAN Wealth Advisors, LLC (“Affinity” or the “Company”) supports a nationwide network of agents and advisors serving clients throughout the United States. Affinity’s mission is to develop proprietary advisor training systems, lead generation infrastructure and client relationship management tools designed to support scalable growth and recurring client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delivers integrated retirement, investment, and estate planning solutions through a coordinated model that combines insurance distribution and registered investment advisory.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Complementing the insurance offering is AAN Wealth Advisors, LLC, an independent Registered Investment Advisor (“RIA”) that provides fiduciary-based investment management. Through this service, the RIA’s mission is to provide clients with personalized portfolio construction, retirement income planning, and tax-efficient investment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accounting principles generally accepted in the United States of America (“US GAAP”). The Company is a private company that is not required to file financial statements with the Securities and Exchange Commission. All amounts are presented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combined financial statements have been prepared on a standalone basis and are derived from the historical financial records of Affinity Advisory Network, LLC and AAN Wealth Advisors, LLC. These condensed combined financial statements include the assets, liabilities, equity, revenues, expenses, and cash flows of the two entities under common control and shared management, as listed in Note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legal parent-subsidiary relationship did not exist between these entities during the periods presented, these financial statements are presented on a combined rather than consolidated basis. All significant intercompany balances, transactions, and unrealized profits or losses between the combined entities, if any, have been eliminated in full upon combination. The financial information included herein may not necessarily reflect the financial position, results of operations, or cash flows that would have occurred had the combined entities operated as a single, separate standalone enterprise during the period presented.</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include the allowance for credit losses and incremental borrowing rates used to measure lease liabilities.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consists of demand deposits held at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receivables. The Company maintains its cash balances at financial institutions where deposits may at times exceed federally insured limits of $250 per depositor, per institution. The Company has not experienced losses on these balances and management believes the Company is not exposed to significant credit risk with respect to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are stated at the amount the Company expects to collect and do not bear interest. The Company measures expected credit losses over the contractual life of its receivables using a current expected credit loss model. Receivables are pooled based on similar risk characteristics, including client type and aging, and the Company applies loss rates derived from historical write-off experience, adjusted for current conditions and reasonable and supportable forecasts. Receivables are written off when management determines that collection is no longer probable, and subsequent recoveries are credited to the allowance in the period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Furniture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equipment are stated at cost, less accumulated depreciation and amortization. Depreciation is computed using the straight-line method over the estimated useful lives of the related assets. Expenditures for maintenance and repairs are expensed as incurred, while renewals and betterments that extend the useful life of an asset are capitalized. Upon retirement or disposal, the cost and related accumulated depreciation are removed from the accounts and any resulting gain or loss is included in operations. Estimated useful lives are as follows:</w:t>
      </w:r>
    </w:p>
    <w:p>
      <w:pPr>
        <w:pStyle w:val="TextBody"/>
        <w:bidi w:val="0"/>
        <w:spacing w:before="0" w:after="0"/>
        <w:ind w:left="0" w:right="0" w:hanging="0"/>
        <w:jc w:val="both"/>
        <w:rPr>
          <w:caps w:val="false"/>
          <w:smallCaps w:val="false"/>
        </w:rPr>
      </w:pPr>
      <w:r>
        <w:rPr>
          <w:caps w:val="false"/>
          <w:smallCaps w:val="false"/>
        </w:rPr>
        <w:t> </w:t>
      </w:r>
    </w:p>
    <w:tbl>
      <w:tblPr>
        <w:tblW w:w="2755" w:type="dxa"/>
        <w:jc w:val="center"/>
        <w:tblInd w:w="0" w:type="dxa"/>
        <w:tblLayout w:type="fixed"/>
        <w:tblCellMar>
          <w:top w:w="0" w:type="dxa"/>
          <w:left w:w="0" w:type="dxa"/>
          <w:bottom w:w="28" w:type="dxa"/>
          <w:right w:w="0" w:type="dxa"/>
        </w:tblCellMar>
      </w:tblPr>
      <w:tblGrid>
        <w:gridCol w:w="1835"/>
        <w:gridCol w:w="60"/>
        <w:gridCol w:w="860"/>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w:t>
            </w:r>
          </w:p>
        </w:tc>
      </w:tr>
      <w:tr>
        <w:trPr/>
        <w:tc>
          <w:tcPr>
            <w:tcW w:w="18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5 - 7 years</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3 - 5 years</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5 - 7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arrangement is or contains a lease at inception. Operating lease right-of-use assets and lease liabilities are recognized at the commencement date based on the present value of the remaining lease payments over the lease term, and the right-of-use asset is adjusted for prepaid or accrued rent, lease incentives, and initial direct costs. Because the rate implicit in its leases is not readily determinable, the Company uses its incremental borrowing rate. The Company has elected the short-term lease exception and does not record right-of-use assets or lease liabilities for leases with an original term of twelve months or less; such payments are recognized as expense on a straight-line basis over the lease term. Variable lease payments, including common area maintenance and operating cost escalations, are expensed as incurred.</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under </w:t>
      </w:r>
      <w:r>
        <w:rPr>
          <w:rFonts w:ascii="Times New Roman;Times;Serif" w:hAnsi="Times New Roman;Times;Serif"/>
          <w:b w:val="false"/>
          <w:i/>
          <w:caps w:val="false"/>
          <w:smallCaps w:val="false"/>
          <w:sz w:val="20"/>
        </w:rPr>
        <w:t>ASC 606, Revenue from Contracts with Customers</w:t>
      </w:r>
      <w:r>
        <w:rPr>
          <w:rFonts w:ascii="Times New Roman;Times;Serif" w:hAnsi="Times New Roman;Times;Serif"/>
          <w:b w:val="false"/>
          <w:i w:val="false"/>
          <w:caps w:val="false"/>
          <w:smallCaps w:val="false"/>
          <w:sz w:val="20"/>
        </w:rPr>
        <w:t>. The Company’s revenue consists of advisory fees and wealth management fees. The core principle of ASC 606 is to recognize upon the transfer of promised goods or services to customers in amount that reflects the consideration the entity expects to be entitled to in exchange for those goods or services. Accordingly, the Company recognizes revenue for services through the application of the following steps:</w:t>
      </w:r>
    </w:p>
    <w:p>
      <w:pPr>
        <w:pStyle w:val="TextBody"/>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Advisory Fees.</w:t>
      </w:r>
      <w:r>
        <w:rPr>
          <w:rFonts w:ascii="Times New Roman;Times;Serif" w:hAnsi="Times New Roman;Times;Serif"/>
          <w:b w:val="false"/>
          <w:i w:val="false"/>
          <w:caps w:val="false"/>
          <w:smallCaps w:val="false"/>
          <w:sz w:val="20"/>
        </w:rPr>
        <w:t xml:space="preserve"> The Company acts as a principal and earns commission revenue from annuity and life insurance policies sold on behalf of its insurance carrier partners for which the Company is designated as the assigned marketing organization. Specifically, the Company earns commission revenue when a submitted annuity and life insurance policy is approved by the carrier and funded, who the Company defines as its customer under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a one-time commission which is based on the premium amount when the policy is issued and funded by the paying member. Each carrier that the Company considers to be customers have contracted commission tables based on the product selected by the paying member, the age of the paying member and distribution level of the sales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earns trailing commission revenue which is earned over the policy term; however, that amount is immaterial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Wealth Management Fees.</w:t>
      </w:r>
      <w:r>
        <w:rPr>
          <w:rFonts w:ascii="Times New Roman;Times;Serif" w:hAnsi="Times New Roman;Times;Serif"/>
          <w:b w:val="false"/>
          <w:i w:val="false"/>
          <w:caps w:val="false"/>
          <w:smallCaps w:val="false"/>
          <w:sz w:val="20"/>
        </w:rPr>
        <w:t xml:space="preserve"> The Company acts as a principal and earns investment advisory revenue representing fees charged to clients based on the average daily market value of the assets held in members designated account over the preceding calendar quarter. The Company’s fees are billed quarterly, in arrears. Revenue for investment advisory services is recognized ratably during the quarter. The performance obligation for advisory services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client accounts are on a calendar quarter and are billed using values as of the last business day of the preceding quarter. The value of the eligible assets in an advisory account on the billing date is adjusted for contributions and withdrawals during the period to determine the amount of revenue earned in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Professional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employees directly associated with generating commission revenue are classified as professional compensation in the accompanying condensed combined statement of income.</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Subcontractor and contract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Subcontractor and contract labor cost consists of the following: payout amounts that are earned by and paid out to advisors based on advisory and commission revenue earned on each client’s account, production-based bonuses earned by advisors based on the levels of advisory and commission revenue they produce. Costs directly associated with generating commission revenue, including commissions paid to independent producers and affiliated agents, are classified as subcontractor and contract labor cost in the accompanying condensed combined statement of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expenses consist primarily of promotional activities associated with the Company’s direct marketing. Direct marketing includes meetings and seminars which are held in the pursuit of attracting new clients. Marketing and advertising costs are expensed as incurred, are included in marketing and advertising in the accompanying condensed combined statement of income, and was approximately $55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limited liability company and consequently, is not a tax-paying entity for United States federal income tax purposes. Accordingly, a provision for income taxes has not been recorded in the accompanying financial statements. Company income or losses are reflected in the members’ individual or corporate tax returns in accordance with their ownership percentages.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determine whether its tax positions are more likely than not to be sustained upon examination by the applicable taxing authority, including resolution of any related appeals or litigation processes, based on the technical merits of the position. The tax benefit recognized is measured as the largest amount of benefit that has a greater than fifty percent likelihood of being realized upon ultimate settlement with the relevant taxing authority. De-recognition of a tax benefit previously recognized results in the Company recording a tax liability that reduces member’s equity. Based on its analysis the Company has determined that it has not incurred any liability for unrecognized tax benefits as of June 30, 2026. The Company’s conclusions may be subject to review and adjustment at a later date based on variety of factors including, but not limited to, on-going analysis of and changes to tax laws, regulations and interpretations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in interest expense and other expenses, respectively. No interest expense or penalties have been recognized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Company applies a three-level hierarchy that prioritizes the inputs used to measure fair value: Level 1 inputs are quoted prices in active markets for identical assets or liabilities; Level 2 inputs are observable inputs other than Level 1 prices, such as quoted prices for similar instruments or inputs corroborated by observable market data; and Level 3 inputs are unobservable inputs that reflect the Company’s own assumptions about the assumptions market participants would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mainly of cash, receivables, accounts payable, accrued liabilities, the carrying amounts of which approximate fair value because of their short maturities. The carrying value of the line of credit approximates fair value because of the variability of interest rates associated with the instrument.</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Receivables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ending balance was $314 at December 31, 2025 and $260 at June 30, 2026.</w:t>
      </w:r>
    </w:p>
    <w:p>
      <w:pPr>
        <w:pStyle w:val="TextBody"/>
        <w:bidi w:val="0"/>
        <w:jc w:val="both"/>
        <w:rPr>
          <w:caps w:val="false"/>
          <w:smallCaps w:val="false"/>
        </w:rPr>
      </w:pPr>
      <w:r>
        <w:rPr>
          <w:caps w:val="false"/>
          <w:smallCaps w:val="false"/>
        </w:rPr>
        <w:t> </w:t>
      </w:r>
    </w:p>
    <w:p>
      <w:pPr>
        <w:pStyle w:val="TextBody"/>
        <w:bidi w:val="0"/>
        <w:jc w:val="both"/>
        <w:rPr/>
      </w:pPr>
      <w:r>
        <w:rPr/>
        <w:t>There was a zero balance in allowance for credit losses at December 31, 2025, there was no provision for credit losses and no write-offs charged against credit allowance during the period ending June 30, 2026, netting to a zero balance in allowance for credit losses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Furniture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furniture and equipment,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514" w:type="dxa"/>
        <w:jc w:val="center"/>
        <w:tblInd w:w="0" w:type="dxa"/>
        <w:tblLayout w:type="fixed"/>
        <w:tblCellMar>
          <w:top w:w="0" w:type="dxa"/>
          <w:left w:w="0" w:type="dxa"/>
          <w:bottom w:w="0" w:type="dxa"/>
          <w:right w:w="0" w:type="dxa"/>
        </w:tblCellMar>
      </w:tblPr>
      <w:tblGrid>
        <w:gridCol w:w="2990"/>
        <w:gridCol w:w="60"/>
        <w:gridCol w:w="318"/>
        <w:gridCol w:w="1036"/>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278</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325</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(325</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Furniture and equipment</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equipment became fully depreciated prior to January 1, 2025 and therefore no depreciation expense was recorded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in Cuyahoga Falls, Ohio and Canton, Ohio, under non-cancelable operating leases with remaining terms of approximately 0.9 years and 1.8 years, respectively, certain of which include options to extend the lease term for five years and three years, respectively. Renewal options are included in the measurement of lease liabilities only when the Company is reasonably certain to exercise them. The Company’s leases do not contain material residual value guarantees or restrictive covenants. The Company has one other short-term lease which is expensed as permitted under the short-term lease exemption. The components of lease cost were as follows:</w:t>
      </w:r>
    </w:p>
    <w:p>
      <w:pPr>
        <w:pStyle w:val="TextBody"/>
        <w:bidi w:val="0"/>
        <w:spacing w:before="0" w:after="0"/>
        <w:ind w:left="0" w:right="0" w:hanging="0"/>
        <w:jc w:val="both"/>
        <w:rPr>
          <w:caps w:val="false"/>
          <w:smallCaps w:val="false"/>
        </w:rPr>
      </w:pPr>
      <w:r>
        <w:rPr>
          <w:caps w:val="false"/>
          <w:smallCaps w:val="false"/>
        </w:rPr>
        <w:t> </w:t>
      </w:r>
    </w:p>
    <w:tbl>
      <w:tblPr>
        <w:tblW w:w="4044" w:type="dxa"/>
        <w:jc w:val="center"/>
        <w:tblInd w:w="0" w:type="dxa"/>
        <w:tblLayout w:type="fixed"/>
        <w:tblCellMar>
          <w:top w:w="0" w:type="dxa"/>
          <w:left w:w="0" w:type="dxa"/>
          <w:bottom w:w="28" w:type="dxa"/>
          <w:right w:w="0" w:type="dxa"/>
        </w:tblCellMar>
      </w:tblPr>
      <w:tblGrid>
        <w:gridCol w:w="2000"/>
        <w:gridCol w:w="60"/>
        <w:gridCol w:w="668"/>
        <w:gridCol w:w="1241"/>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8" w:space="0" w:color="000000"/>
            </w:tcBorders>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 2026</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shd w:fill="CCEEFF" w:val="clear"/>
            <w:tcMar>
              <w:bottom w:w="0" w:type="dxa"/>
            </w:tcMar>
            <w:vAlign w:val="center"/>
          </w:tcPr>
          <w:p>
            <w:pPr>
              <w:pStyle w:val="TableContents"/>
              <w:bidi w:val="0"/>
              <w:spacing w:before="0" w:after="283"/>
              <w:jc w:val="left"/>
              <w:rPr/>
            </w:pPr>
            <w:r>
              <w:rPr/>
              <w:t>$</w:t>
            </w:r>
          </w:p>
        </w:tc>
        <w:tc>
          <w:tcPr>
            <w:tcW w:w="1241" w:type="dxa"/>
            <w:tcBorders/>
            <w:shd w:fill="CCEEFF" w:val="clear"/>
            <w:tcMar>
              <w:bottom w:w="0" w:type="dxa"/>
            </w:tcMar>
            <w:vAlign w:val="center"/>
          </w:tcPr>
          <w:p>
            <w:pPr>
              <w:pStyle w:val="TableContents"/>
              <w:bidi w:val="0"/>
              <w:spacing w:before="0" w:after="283"/>
              <w:jc w:val="right"/>
              <w:rPr/>
            </w:pPr>
            <w:r>
              <w:rPr/>
              <w:t>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Short-term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Variable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vAlign w:val="center"/>
          </w:tcPr>
          <w:p>
            <w:pPr>
              <w:pStyle w:val="TableContents"/>
              <w:bidi w:val="0"/>
              <w:spacing w:before="0" w:after="283"/>
              <w:jc w:val="left"/>
              <w:rPr/>
            </w:pPr>
            <w:r>
              <w:rPr/>
              <w:t> </w:t>
            </w:r>
          </w:p>
        </w:tc>
        <w:tc>
          <w:tcPr>
            <w:tcW w:w="1241" w:type="dxa"/>
            <w:tcBorders>
              <w:bottom w:val="single" w:sz="8" w:space="0" w:color="000000"/>
            </w:tcBorders>
            <w:shd w:fill="CCEEFF" w:val="clear"/>
            <w:vAlign w:val="center"/>
          </w:tcPr>
          <w:p>
            <w:pPr>
              <w:pStyle w:val="TableContents"/>
              <w:bidi w:val="0"/>
              <w:spacing w:before="0" w:after="283"/>
              <w:jc w:val="right"/>
              <w:rPr/>
            </w:pPr>
            <w:r>
              <w:rPr/>
              <w:t>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8"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8" w:type="dxa"/>
            <w:tcBorders>
              <w:bottom w:val="double" w:sz="6" w:space="0" w:color="000000"/>
            </w:tcBorders>
            <w:shd w:fill="CCEEFF" w:val="clear"/>
            <w:vAlign w:val="center"/>
          </w:tcPr>
          <w:p>
            <w:pPr>
              <w:pStyle w:val="TableContents"/>
              <w:bidi w:val="0"/>
              <w:spacing w:before="0" w:after="283"/>
              <w:jc w:val="left"/>
              <w:rPr/>
            </w:pPr>
            <w:r>
              <w:rPr/>
              <w:t>$</w:t>
            </w:r>
          </w:p>
        </w:tc>
        <w:tc>
          <w:tcPr>
            <w:tcW w:w="1241" w:type="dxa"/>
            <w:tcBorders>
              <w:bottom w:val="double" w:sz="6" w:space="0" w:color="000000"/>
            </w:tcBorders>
            <w:shd w:fill="CCEEFF" w:val="clear"/>
            <w:vAlign w:val="center"/>
          </w:tcPr>
          <w:p>
            <w:pPr>
              <w:pStyle w:val="TableContents"/>
              <w:bidi w:val="0"/>
              <w:spacing w:before="0" w:after="283"/>
              <w:jc w:val="right"/>
              <w:rPr/>
            </w:pPr>
            <w:r>
              <w:rPr/>
              <w:t>54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weighted-average remaining lease term for operating leases was approximately 1.4 years and the weighted-average discount rate was 5.5%. Cash paid for amounts included in the measurement of operating lease liabilities was approximately $55 for the period ended June 30, 2026. Maturities of operating lease liabilities as of June 30, 2026 are as follows:</w:t>
      </w:r>
    </w:p>
    <w:p>
      <w:pPr>
        <w:pStyle w:val="TextBody"/>
        <w:bidi w:val="0"/>
        <w:spacing w:before="0" w:after="0"/>
        <w:ind w:left="0" w:right="0" w:hanging="0"/>
        <w:jc w:val="both"/>
        <w:rPr>
          <w:caps w:val="false"/>
          <w:smallCaps w:val="false"/>
        </w:rPr>
      </w:pPr>
      <w:r>
        <w:rPr>
          <w:caps w:val="false"/>
          <w:smallCaps w:val="false"/>
        </w:rPr>
        <w:t> </w:t>
      </w:r>
    </w:p>
    <w:tbl>
      <w:tblPr>
        <w:tblW w:w="4784" w:type="dxa"/>
        <w:jc w:val="center"/>
        <w:tblInd w:w="0" w:type="dxa"/>
        <w:tblLayout w:type="fixed"/>
        <w:tblCellMar>
          <w:top w:w="0" w:type="dxa"/>
          <w:left w:w="0" w:type="dxa"/>
          <w:bottom w:w="28" w:type="dxa"/>
          <w:right w:w="0" w:type="dxa"/>
        </w:tblCellMar>
      </w:tblPr>
      <w:tblGrid>
        <w:gridCol w:w="2900"/>
        <w:gridCol w:w="60"/>
        <w:gridCol w:w="460"/>
        <w:gridCol w:w="1254"/>
        <w:gridCol w:w="110"/>
      </w:tblGrid>
      <w:tr>
        <w:trPr/>
        <w:tc>
          <w:tcPr>
            <w:tcW w:w="2900" w:type="dxa"/>
            <w:tcBorders>
              <w:bottom w:val="single" w:sz="8" w:space="0" w:color="000000"/>
            </w:tcBorders>
            <w:vAlign w:val="center"/>
          </w:tcPr>
          <w:p>
            <w:pPr>
              <w:pStyle w:val="TableContents"/>
              <w:bidi w:val="0"/>
              <w:spacing w:before="0" w:after="283"/>
              <w:jc w:val="both"/>
              <w:rPr/>
            </w:pPr>
            <w:r>
              <w:rPr/>
              <w:t>Year Ended</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bottom w:val="single" w:sz="8" w:space="0" w:color="000000"/>
            </w:tcBorders>
            <w:vAlign w:val="center"/>
          </w:tcPr>
          <w:p>
            <w:pPr>
              <w:pStyle w:val="TableContents"/>
              <w:bidi w:val="0"/>
              <w:jc w:val="center"/>
              <w:rPr/>
            </w:pPr>
            <w:r>
              <w:rPr/>
              <w:t>Future</w:t>
            </w:r>
          </w:p>
          <w:p>
            <w:pPr>
              <w:pStyle w:val="TableContents"/>
              <w:bidi w:val="0"/>
              <w:spacing w:before="0" w:after="283"/>
              <w:jc w:val="center"/>
              <w:rPr/>
            </w:pPr>
            <w:r>
              <w:rPr/>
              <w:t>Minimum Rentals</w:t>
            </w:r>
          </w:p>
        </w:tc>
        <w:tc>
          <w:tcPr>
            <w:tcW w:w="11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71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both"/>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 w:type="dxa"/>
            <w:tcBorders/>
            <w:shd w:fill="CCEEFF" w:val="clear"/>
            <w:tcMar>
              <w:bottom w:w="0" w:type="dxa"/>
            </w:tcMar>
            <w:vAlign w:val="center"/>
          </w:tcPr>
          <w:p>
            <w:pPr>
              <w:pStyle w:val="TableContents"/>
              <w:bidi w:val="0"/>
              <w:spacing w:before="0" w:after="283"/>
              <w:jc w:val="left"/>
              <w:rPr/>
            </w:pPr>
            <w:r>
              <w:rPr/>
              <w:t>$</w:t>
            </w:r>
          </w:p>
        </w:tc>
        <w:tc>
          <w:tcPr>
            <w:tcW w:w="1254" w:type="dxa"/>
            <w:tcBorders/>
            <w:shd w:fill="CCEEFF" w:val="clear"/>
            <w:tcMar>
              <w:bottom w:w="0" w:type="dxa"/>
            </w:tcMar>
            <w:vAlign w:val="center"/>
          </w:tcPr>
          <w:p>
            <w:pPr>
              <w:pStyle w:val="TableContents"/>
              <w:bidi w:val="0"/>
              <w:spacing w:before="0" w:after="283"/>
              <w:jc w:val="right"/>
              <w:rPr/>
            </w:pPr>
            <w:r>
              <w:rPr/>
              <w:t>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pPr>
            <w:r>
              <w:rPr/>
              <w:t>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 w:type="dxa"/>
            <w:tcBorders>
              <w:bottom w:val="single" w:sz="8" w:space="0" w:color="000000"/>
            </w:tcBorders>
            <w:shd w:fill="CCEEFF" w:val="clear"/>
            <w:vAlign w:val="center"/>
          </w:tcPr>
          <w:p>
            <w:pPr>
              <w:pStyle w:val="TableContents"/>
              <w:bidi w:val="0"/>
              <w:spacing w:before="0" w:after="283"/>
              <w:jc w:val="left"/>
              <w:rPr/>
            </w:pPr>
            <w:r>
              <w:rPr/>
              <w:t> </w:t>
            </w:r>
          </w:p>
        </w:tc>
        <w:tc>
          <w:tcPr>
            <w:tcW w:w="1254" w:type="dxa"/>
            <w:tcBorders>
              <w:bottom w:val="single" w:sz="8" w:space="0" w:color="000000"/>
            </w:tcBorders>
            <w:shd w:fill="CCEEFF" w:val="clear"/>
            <w:vAlign w:val="center"/>
          </w:tcPr>
          <w:p>
            <w:pPr>
              <w:pStyle w:val="TableContents"/>
              <w:bidi w:val="0"/>
              <w:spacing w:before="0" w:after="283"/>
              <w:jc w:val="right"/>
              <w:rPr/>
            </w:pPr>
            <w:r>
              <w:rPr/>
              <w:t>27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undiscounted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pPr>
            <w:r>
              <w:rPr/>
              <w:t>180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 w:type="dxa"/>
            <w:tcBorders>
              <w:bottom w:val="single" w:sz="8" w:space="0" w:color="000000"/>
            </w:tcBorders>
            <w:shd w:fill="CCEEFF" w:val="clear"/>
            <w:vAlign w:val="center"/>
          </w:tcPr>
          <w:p>
            <w:pPr>
              <w:pStyle w:val="TableContents"/>
              <w:bidi w:val="0"/>
              <w:spacing w:before="0" w:after="283"/>
              <w:jc w:val="left"/>
              <w:rPr/>
            </w:pPr>
            <w:r>
              <w:rPr/>
              <w:t> </w:t>
            </w:r>
          </w:p>
        </w:tc>
        <w:tc>
          <w:tcPr>
            <w:tcW w:w="1254" w:type="dxa"/>
            <w:tcBorders>
              <w:bottom w:val="single" w:sz="8" w:space="0" w:color="000000"/>
            </w:tcBorders>
            <w:shd w:fill="CCEEFF" w:val="clear"/>
            <w:vAlign w:val="center"/>
          </w:tcPr>
          <w:p>
            <w:pPr>
              <w:pStyle w:val="TableContents"/>
              <w:bidi w:val="0"/>
              <w:spacing w:before="0" w:after="283"/>
              <w:jc w:val="right"/>
              <w:rPr/>
            </w:pPr>
            <w:r>
              <w:rPr/>
              <w:t>(16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9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vAlign w:val="center"/>
          </w:tcPr>
          <w:p>
            <w:pPr>
              <w:pStyle w:val="TableContents"/>
              <w:bidi w:val="0"/>
              <w:spacing w:before="0" w:after="283"/>
              <w:jc w:val="left"/>
              <w:rPr/>
            </w:pPr>
            <w:r>
              <w:rPr/>
              <w:t>$</w:t>
            </w:r>
          </w:p>
        </w:tc>
        <w:tc>
          <w:tcPr>
            <w:tcW w:w="1254" w:type="dxa"/>
            <w:tcBorders>
              <w:bottom w:val="double" w:sz="6" w:space="0" w:color="000000"/>
            </w:tcBorders>
            <w:shd w:fill="FFFFFF" w:val="clear"/>
            <w:vAlign w:val="center"/>
          </w:tcPr>
          <w:p>
            <w:pPr>
              <w:pStyle w:val="TableContents"/>
              <w:bidi w:val="0"/>
              <w:spacing w:before="0" w:after="283"/>
              <w:jc w:val="right"/>
              <w:rPr/>
            </w:pPr>
            <w:r>
              <w:rPr/>
              <w:t>164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party to claims, disputes, and legal proceedings arising in the ordinary course of business, including matters involving client engagements, employment, and commercial relationships. Management, after consultation with legal counsel, believes that the ultimate resolution of such matters will not have a material adverse effect on the Company’s financial position, results of operations, or cash flows. Accruals for loss contingencies are recorded when a loss is probable and the amount can be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maintained a revolving line of credit with Huntington National Bank providing for maximum borrowings of up to $300 secured by substantially all assets of the Company. The maturity date of the line of credit is September 5, 2029. The line of credit was repaid and terminated at the closing of the Affinity acquisition, see Note 10 – Subsequent Events below for discussion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line bore interest at a variable rate equal to the Index Rate, e.g., Wall Street Journal Prime Rate, plus a margin of 2.0%, adjusted every calendar quarter on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the first month of each quarter. The effective interest rate was 8.75% at June 30, 2026.</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balance on the line of credit was approximately $261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Concentrations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a significant portion of its revenue from insurance products written through a single insurance company. For the six months ended June 30, 2026, commissions on products written through that insurance company accounted for approximately 77% of total insurance advisory revenues. This concentration reflects the Company’s strategic relationship with its primary carrier partner and does not represent dependence on a single agent or client relationship. These policies are produced by a network of multiple independent agents operating across the country, each writing policies on behalf of their respective clients. The Company maintains relationships with a range of insurance carriers. A significant amount of the Company’s revenue is derived from products purchased by individuals living in Ohio and the Company’s results depend in part on the continued service of a limited number of senior professionals whose client relationships and technical expertise are important to the business. The loss of one or more significant relationships, clients or key personnel could have a material adverse effect on the Company’s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derives a significant portion of its receivables from its wealth management fees. For the six month period ended June 30, 2026, the receivables on the investment service agreement through that one party accounted for approximately 100% of the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Affinity Advisory Holdings Corp., a Delaware corporation (the “Buyer”) and a wholly-owned subsidiary of Stark Novus Financial Inc. (formerly Nu Ride Inc.) (“Stark”) completed the acquisition of Affinity. The Membership Interest Purchase Agreement (the “Purchase Agreement”) for the transaction was signed on June 2, 2026. The aggregate consideration payable under the Purchase Agreement consisted of (a) a cash payment at closing of $6,720, including in respect of $338 of cash on the balance sheet of Affinity at closing; (b) 80,000 shares of Class A common stock of Stark and (c) shares of the Buyer’s common stock equal to 15% of the Buyer’s issued and outstanding shares immediately following the closing. In connection with the closing, outstanding indebtedness of Affinity, including the balance on its revolving line of credit and credit card obligations, was repaid from the cash consideration. The Sellers are also eligible to receive a contingent earnout payment of up to $1,312 (plus accrued interest), payable in up to three annual installments of approximately $437 each following the closing, subject to meeting certain insurance-writing thresholds.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September 30, 2026, the date that the financial statements were available for issuance. Based upon this review, other than the above, the Company did not identify any subsequent events that would have required adjustment or disclosure in the financial statements.</w:t>
      </w:r>
    </w:p>
    <w:p>
      <w:pPr>
        <w:pStyle w:val="TextBody"/>
        <w:bidi w:val="0"/>
        <w:spacing w:before="0" w:after="0"/>
        <w:ind w:left="0" w:right="0" w:hanging="0"/>
        <w:jc w:val="both"/>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815"/>
      </w:tblGrid>
      <w:tr>
        <w:trPr/>
        <w:tc>
          <w:tcPr>
            <w:tcW w:w="815" w:type="dxa"/>
            <w:tcBorders/>
            <w:vAlign w:val="center"/>
          </w:tcPr>
          <w:p>
            <w:pPr>
              <w:pStyle w:val="TableContents"/>
              <w:bidi w:val="0"/>
              <w:spacing w:before="0" w:after="283"/>
              <w:jc w:val="center"/>
              <w:rPr/>
            </w:pPr>
            <w:r>
              <w:rPr/>
              <w:t>Page 14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37" w:name="ex99-3.htm"/>
      <w:bookmarkStart w:id="38" w:name="ksex993"/>
      <w:bookmarkEnd w:id="37"/>
      <w:bookmarkEnd w:id="38"/>
      <w:r>
        <w:rPr>
          <w:caps w:val="false"/>
          <w:smallCaps w:val="false"/>
        </w:rPr>
        <w:t> </w:t>
      </w:r>
      <w:r>
        <w:br w:type="page"/>
      </w:r>
    </w:p>
    <w:p>
      <w:pPr>
        <w:pStyle w:val="TextBody"/>
        <w:shd w:fill="FFFFFF" w:val="clear"/>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terms included below have the same meaning as terms defined and included elsewhere in this Amendment No. 1 to Current Report on Form 8-K (the “Current Report”), to which this unaudited pro forma condensed combined financial information is attached, or the initial Current Report on Form 8-K filed with the SEC on July 21,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is derived from the historical consolidated financial statements of Stark Novus Financial Inc. (“Stark” or the “Company”) and the historical combined financial statements of Affinity Advisory Network, LLC and AAN Wealth Advisors, LLC (“Affinity”), as of and for the six months ended June 30, 2026 and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gives effect to the acquisition of Affinity by Stark (the “Acquisition”), which closed on July 15, 2026 (the “Closing Date”), and includes the impacts of (a) the Acquisition, including the cash and stock purchase price of the Acquisition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related to the Acquisition has been prepared by Stark using the acquisition method of accounting in accordance with GAAP. Stark has been treated as the acquirer for accounting purposes, and thus accounts for the Acquisition as a business combination in accordance with Accounting Standards Codification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The valuations of the assets acquired and liabilities assumed, and therefore the purchase price allocations, are preliminary and have not yet been finalized as of the date of this filing. As a result of the foregoing, the pro forma adjustments are preliminary and have been made solely for the purpose of providing unaudited pro forma combined financial information and the final purchase price allocation and the resulting effect on financial position and results of operations may differ significantly from the pro forma amounts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balance sheet as of June 30, 2026, gives effect to the Acquisition as if it had occurred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six months ended June 30, 2026 and for the year ended December 31, 2025, give effect to the Acquisition as if it had occurred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balance sheet and the unaudited pro forma combined statements of operations have been derived from and should be read in conjunction with the following financial statements, which are included as an exhibit to this Current Report or are included in Stark’s Form 10-K for the fiscal year ended December 31, 2025 or Form 10-Q for the quarter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unaudited condensed consolidated financial statements and the related notes of Stark as of and for the six months ended June 30, 2026, which are included in the Company’s Quarterly Report on Form 10-Q for the quarter ended June 30, 2026 filed with the SEC on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audited consolidated financial statements and the related notes of Stark for the year ended December 31, 2025, which are included in the Company’s Annual Report on Form 10-K for the year ended December 31, 2025 filed with the SEC on March 26, 2026;</w:t>
            </w:r>
          </w:p>
        </w:tc>
      </w:tr>
    </w:tbl>
    <w:p>
      <w:pPr>
        <w:pStyle w:val="TextBody"/>
        <w:bidi w:val="0"/>
        <w:spacing w:before="0" w:after="283"/>
        <w:jc w:val="left"/>
        <w:rPr/>
      </w:pPr>
      <w:r>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unaudited condensed combined financial statements and the related notes of Affinity as of and for the six months ended June 30, 2026, which are included as Exhibit 99.2 to this Current Report;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audited combined financial statements and the related notes of Affinity for the year ended December 31, 2025, which are included as Exhibit 99.1 to this Current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as amended by the final rule, Release No. 33-10786, “Amendments to Financial Disclosures about Acquired and Disposed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are based on available information and upon assumptions that Stark management believes are reasonable under the circumstances to reflect, on a pro forma basis, the effect of the Acquisition and the other transactions noted above. The adjustments are described in the notes to the unaudited pro forma condensed combined balance sheet and the unaudited pro forma condensed combined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included for informational purposes only. The unaudited pro forma combined financial information should not be relied upon as being indicative of Stark’s results of operations or financial condition had the Acquisition and the other transactions contemplated by the Purchase Agreement occurred on the dates assumed. The unaudited pro forma condensed combined financial information also does not project Stark’s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A number of factors may affect the results. Specifically, the unaudited pro forma combined statements of operations do not include projected synergies expected to be achieved as a result of the Acquisition and any associated costs that may be required to be incurred to achieve the identified synergies. The unaudited pro forma combined statements of operations also exclude the effects of costs of integration activities and asset dispositions that may result from the Acquisition. The unaudited pro forma combined statements of operations and balance sheet should be read in conjunction with the “Risk Factors”, “Management’s Discussion and Analysis of Financial Condition and Results of Operations”, Stark’s consolidated financial statements and related notes and other sections of Stark’s Annual Report on Form 10-K for the year ended December 31, 2025, Stark’s Current Report on Form 10-Q for the quarter ended June 30, 2026, and Affinity’s financial statements and related notes included as exhibits to this Current Report.</w:t>
      </w:r>
    </w:p>
    <w:p>
      <w:pPr>
        <w:pStyle w:val="TextBody"/>
        <w:bidi w:val="0"/>
        <w:spacing w:before="0" w:after="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56"/>
        <w:gridCol w:w="60"/>
        <w:gridCol w:w="160"/>
        <w:gridCol w:w="1165"/>
        <w:gridCol w:w="80"/>
        <w:gridCol w:w="60"/>
        <w:gridCol w:w="463"/>
        <w:gridCol w:w="1474"/>
        <w:gridCol w:w="80"/>
        <w:gridCol w:w="60"/>
        <w:gridCol w:w="287"/>
        <w:gridCol w:w="1262"/>
        <w:gridCol w:w="80"/>
        <w:gridCol w:w="60"/>
        <w:gridCol w:w="336"/>
        <w:gridCol w:w="60"/>
        <w:gridCol w:w="189"/>
        <w:gridCol w:w="1373"/>
        <w:gridCol w:w="100"/>
      </w:tblGrid>
      <w:tr>
        <w:trPr/>
        <w:tc>
          <w:tcPr>
            <w:tcW w:w="2856"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 and AAN Wealth Advisors, LLC</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Transaction Adjustments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 Pro Forma</w:t>
            </w:r>
          </w:p>
        </w:tc>
        <w:tc>
          <w:tcPr>
            <w:tcW w:w="1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14,399</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7,373</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restricted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2,619</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24,868</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11,595</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6,036</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4"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43,754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6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46,117</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EQUITY AND STOCKHOLDERS’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legal and professional fees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 of credit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current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subject to compromise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2,603</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net of current portion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contingent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4"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4,716</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39,928</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1,180,833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1,180,966</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 retained earnings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(1,180,202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(1,180,784</w:t>
            </w:r>
          </w:p>
        </w:tc>
        <w:tc>
          <w:tcPr>
            <w:tcW w:w="1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 (deficit) attributable to Stark Novus Financial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5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 (Deficit)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stockholders’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43,754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6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46,117</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15"/>
        <w:gridCol w:w="60"/>
        <w:gridCol w:w="182"/>
        <w:gridCol w:w="862"/>
        <w:gridCol w:w="80"/>
        <w:gridCol w:w="60"/>
        <w:gridCol w:w="310"/>
        <w:gridCol w:w="1206"/>
        <w:gridCol w:w="80"/>
        <w:gridCol w:w="60"/>
        <w:gridCol w:w="363"/>
        <w:gridCol w:w="1152"/>
        <w:gridCol w:w="80"/>
        <w:gridCol w:w="60"/>
        <w:gridCol w:w="358"/>
        <w:gridCol w:w="60"/>
        <w:gridCol w:w="327"/>
        <w:gridCol w:w="1037"/>
        <w:gridCol w:w="80"/>
        <w:gridCol w:w="60"/>
        <w:gridCol w:w="358"/>
        <w:gridCol w:w="60"/>
        <w:gridCol w:w="208"/>
        <w:gridCol w:w="984"/>
        <w:gridCol w:w="103"/>
      </w:tblGrid>
      <w:tr>
        <w:trPr/>
        <w:tc>
          <w:tcPr>
            <w:tcW w:w="2015" w:type="dxa"/>
            <w:tcBorders>
              <w:bottom w:val="single" w:sz="8" w:space="0" w:color="000000"/>
            </w:tcBorders>
            <w:vAlign w:val="center"/>
          </w:tcPr>
          <w:p>
            <w:pPr>
              <w:pStyle w:val="TableContents"/>
              <w:bidi w:val="0"/>
              <w:spacing w:before="0" w:after="283"/>
              <w:jc w:val="left"/>
              <w:rPr>
                <w:b/>
                <w:i/>
                <w:sz w:val="20"/>
              </w:rPr>
            </w:pPr>
            <w:r>
              <w:rPr>
                <w:b/>
                <w:i/>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1044" w:type="dxa"/>
            <w:gridSpan w:val="2"/>
            <w:tcBorders>
              <w:bottom w:val="single" w:sz="8" w:space="0" w:color="000000"/>
            </w:tcBorders>
            <w:vAlign w:val="center"/>
          </w:tcPr>
          <w:p>
            <w:pPr>
              <w:pStyle w:val="TableContents"/>
              <w:bidi w:val="0"/>
              <w:spacing w:before="0" w:after="283"/>
              <w:jc w:val="center"/>
              <w:rPr>
                <w:b/>
                <w:sz w:val="20"/>
              </w:rPr>
            </w:pPr>
            <w:r>
              <w:rPr>
                <w:b/>
                <w:sz w:val="20"/>
              </w:rPr>
              <w:t>Stark Novus Financial Inc.</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6" w:type="dxa"/>
            <w:gridSpan w:val="2"/>
            <w:tcBorders>
              <w:bottom w:val="single" w:sz="8" w:space="0" w:color="000000"/>
            </w:tcBorders>
            <w:vAlign w:val="center"/>
          </w:tcPr>
          <w:p>
            <w:pPr>
              <w:pStyle w:val="TableContents"/>
              <w:bidi w:val="0"/>
              <w:spacing w:before="0" w:after="283"/>
              <w:jc w:val="center"/>
              <w:rPr>
                <w:b/>
                <w:sz w:val="20"/>
              </w:rPr>
            </w:pPr>
            <w:r>
              <w:rPr>
                <w:b/>
                <w:sz w:val="20"/>
              </w:rPr>
              <w:t>Affinity Advisory Network, LLC and AAN Wealth Advisors, LLC</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5" w:type="dxa"/>
            <w:gridSpan w:val="2"/>
            <w:tcBorders>
              <w:bottom w:val="single" w:sz="8" w:space="0" w:color="000000"/>
            </w:tcBorders>
            <w:vAlign w:val="center"/>
          </w:tcPr>
          <w:p>
            <w:pPr>
              <w:pStyle w:val="TableContents"/>
              <w:bidi w:val="0"/>
              <w:spacing w:before="0" w:after="283"/>
              <w:jc w:val="center"/>
              <w:rPr>
                <w:b/>
                <w:sz w:val="20"/>
              </w:rPr>
            </w:pPr>
            <w:r>
              <w:rPr>
                <w:b/>
                <w:sz w:val="20"/>
              </w:rPr>
              <w:t>Reclassification Adjustments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64" w:type="dxa"/>
            <w:gridSpan w:val="2"/>
            <w:tcBorders>
              <w:bottom w:val="single" w:sz="8" w:space="0" w:color="000000"/>
            </w:tcBorders>
            <w:vAlign w:val="center"/>
          </w:tcPr>
          <w:p>
            <w:pPr>
              <w:pStyle w:val="TableContents"/>
              <w:bidi w:val="0"/>
              <w:spacing w:before="0" w:after="283"/>
              <w:jc w:val="center"/>
              <w:rPr>
                <w:b/>
                <w:sz w:val="20"/>
              </w:rPr>
            </w:pPr>
            <w:r>
              <w:rPr>
                <w:b/>
                <w:sz w:val="20"/>
              </w:rPr>
              <w:t>Pro Forma Transaction Adjustments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92" w:type="dxa"/>
            <w:gridSpan w:val="2"/>
            <w:tcBorders>
              <w:bottom w:val="single" w:sz="8" w:space="0" w:color="000000"/>
            </w:tcBorders>
            <w:vAlign w:val="center"/>
          </w:tcPr>
          <w:p>
            <w:pPr>
              <w:pStyle w:val="TableContents"/>
              <w:bidi w:val="0"/>
              <w:spacing w:before="0" w:after="283"/>
              <w:jc w:val="center"/>
              <w:rPr>
                <w:b/>
                <w:sz w:val="20"/>
              </w:rPr>
            </w:pPr>
            <w:r>
              <w:rPr>
                <w:b/>
                <w:sz w:val="20"/>
              </w:rPr>
              <w:t>Stark Novus Financial Inc. Pro Forma</w:t>
            </w:r>
          </w:p>
        </w:tc>
        <w:tc>
          <w:tcPr>
            <w:tcW w:w="103"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4" w:type="dxa"/>
            <w:gridSpan w:val="2"/>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6" w:type="dxa"/>
            <w:gridSpan w:val="2"/>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5" w:type="dxa"/>
            <w:gridSpan w:val="2"/>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64" w:type="dxa"/>
            <w:gridSpan w:val="2"/>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92" w:type="dxa"/>
            <w:gridSpan w:val="2"/>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Advisory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sz w:val="20"/>
              </w:rPr>
            </w:pPr>
            <w:r>
              <w:rPr>
                <w:sz w:val="20"/>
              </w:rPr>
              <w:t>$</w:t>
            </w:r>
          </w:p>
        </w:tc>
        <w:tc>
          <w:tcPr>
            <w:tcW w:w="862"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sz w:val="20"/>
              </w:rPr>
            </w:pPr>
            <w:r>
              <w:rPr>
                <w:sz w:val="20"/>
              </w:rPr>
              <w:t>$</w:t>
            </w:r>
          </w:p>
        </w:tc>
        <w:tc>
          <w:tcPr>
            <w:tcW w:w="1206" w:type="dxa"/>
            <w:tcBorders/>
            <w:shd w:fill="FFFFFF" w:val="clear"/>
            <w:tcMar>
              <w:bottom w:w="0" w:type="dxa"/>
            </w:tcMar>
            <w:vAlign w:val="center"/>
          </w:tcPr>
          <w:p>
            <w:pPr>
              <w:pStyle w:val="TableContents"/>
              <w:bidi w:val="0"/>
              <w:spacing w:before="0" w:after="283"/>
              <w:jc w:val="right"/>
              <w:rPr>
                <w:sz w:val="20"/>
              </w:rPr>
            </w:pPr>
            <w:r>
              <w:rPr>
                <w:sz w:val="20"/>
              </w:rPr>
              <w:t>1,209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sz w:val="20"/>
              </w:rPr>
            </w:pPr>
            <w:r>
              <w:rPr>
                <w:sz w:val="20"/>
              </w:rPr>
              <w:t>$</w:t>
            </w:r>
          </w:p>
        </w:tc>
        <w:tc>
          <w:tcPr>
            <w:tcW w:w="1152"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sz w:val="20"/>
              </w:rPr>
            </w:pPr>
            <w:r>
              <w:rPr>
                <w:sz w:val="20"/>
              </w:rPr>
              <w:t>$</w:t>
            </w:r>
          </w:p>
        </w:tc>
        <w:tc>
          <w:tcPr>
            <w:tcW w:w="984" w:type="dxa"/>
            <w:tcBorders/>
            <w:shd w:fill="FFFFFF" w:val="clear"/>
            <w:tcMar>
              <w:bottom w:w="0" w:type="dxa"/>
            </w:tcMar>
            <w:vAlign w:val="center"/>
          </w:tcPr>
          <w:p>
            <w:pPr>
              <w:pStyle w:val="TableContents"/>
              <w:bidi w:val="0"/>
              <w:spacing w:before="0" w:after="283"/>
              <w:jc w:val="right"/>
              <w:rPr>
                <w:sz w:val="20"/>
              </w:rPr>
            </w:pPr>
            <w:r>
              <w:rPr>
                <w:sz w:val="20"/>
              </w:rPr>
              <w:t>1,209</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Wealth management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CCEEFF" w:val="clear"/>
            <w:vAlign w:val="center"/>
          </w:tcPr>
          <w:p>
            <w:pPr>
              <w:pStyle w:val="TableContents"/>
              <w:bidi w:val="0"/>
              <w:spacing w:before="0" w:after="283"/>
              <w:jc w:val="left"/>
              <w:rPr/>
            </w:pPr>
            <w:r>
              <w:rPr/>
              <w:t> </w:t>
            </w:r>
          </w:p>
        </w:tc>
        <w:tc>
          <w:tcPr>
            <w:tcW w:w="862"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CCEEFF" w:val="clear"/>
            <w:vAlign w:val="center"/>
          </w:tcPr>
          <w:p>
            <w:pPr>
              <w:pStyle w:val="TableContents"/>
              <w:bidi w:val="0"/>
              <w:spacing w:before="0" w:after="283"/>
              <w:jc w:val="left"/>
              <w:rPr/>
            </w:pPr>
            <w:r>
              <w:rPr/>
              <w:t> </w:t>
            </w:r>
          </w:p>
        </w:tc>
        <w:tc>
          <w:tcPr>
            <w:tcW w:w="1206" w:type="dxa"/>
            <w:tcBorders>
              <w:bottom w:val="single" w:sz="8" w:space="0" w:color="000000"/>
            </w:tcBorders>
            <w:shd w:fill="CCEEFF" w:val="clear"/>
            <w:vAlign w:val="center"/>
          </w:tcPr>
          <w:p>
            <w:pPr>
              <w:pStyle w:val="TableContents"/>
              <w:bidi w:val="0"/>
              <w:spacing w:before="0" w:after="283"/>
              <w:jc w:val="right"/>
              <w:rPr>
                <w:sz w:val="20"/>
              </w:rPr>
            </w:pPr>
            <w:r>
              <w:rPr>
                <w:sz w:val="20"/>
              </w:rPr>
              <w:t>505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bottom w:val="single" w:sz="8" w:space="0" w:color="000000"/>
            </w:tcBorders>
            <w:shd w:fill="CCEEFF" w:val="clear"/>
            <w:vAlign w:val="center"/>
          </w:tcPr>
          <w:p>
            <w:pPr>
              <w:pStyle w:val="TableContents"/>
              <w:bidi w:val="0"/>
              <w:spacing w:before="0" w:after="283"/>
              <w:jc w:val="left"/>
              <w:rPr/>
            </w:pPr>
            <w:r>
              <w:rPr/>
              <w:t> </w:t>
            </w:r>
          </w:p>
        </w:tc>
        <w:tc>
          <w:tcPr>
            <w:tcW w:w="1152"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CCEEFF" w:val="clear"/>
            <w:vAlign w:val="center"/>
          </w:tcPr>
          <w:p>
            <w:pPr>
              <w:pStyle w:val="TableContents"/>
              <w:bidi w:val="0"/>
              <w:spacing w:before="0" w:after="283"/>
              <w:jc w:val="left"/>
              <w:rPr/>
            </w:pPr>
            <w:r>
              <w:rPr/>
              <w:t> </w:t>
            </w:r>
          </w:p>
        </w:tc>
        <w:tc>
          <w:tcPr>
            <w:tcW w:w="1037" w:type="dxa"/>
            <w:tcBorders>
              <w:bottom w:val="single" w:sz="8" w:space="0" w:color="000000"/>
            </w:tcBorders>
            <w:shd w:fill="CCEEFF" w:val="cle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sz w:val="20"/>
              </w:rPr>
            </w:pPr>
            <w:r>
              <w:rPr>
                <w:sz w:val="20"/>
              </w:rPr>
              <w:t>505</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Total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206" w:type="dxa"/>
            <w:tcBorders>
              <w:bottom w:val="double" w:sz="6" w:space="0" w:color="000000"/>
            </w:tcBorders>
            <w:shd w:fill="FFFFFF" w:val="clear"/>
            <w:vAlign w:val="center"/>
          </w:tcPr>
          <w:p>
            <w:pPr>
              <w:pStyle w:val="TableContents"/>
              <w:bidi w:val="0"/>
              <w:spacing w:before="0" w:after="283"/>
              <w:jc w:val="right"/>
              <w:rPr>
                <w:sz w:val="20"/>
              </w:rPr>
            </w:pPr>
            <w:r>
              <w:rPr>
                <w:sz w:val="20"/>
              </w:rPr>
              <w:t>1,714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152"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037"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984" w:type="dxa"/>
            <w:tcBorders>
              <w:bottom w:val="double" w:sz="6" w:space="0" w:color="000000"/>
            </w:tcBorders>
            <w:shd w:fill="FFFFFF" w:val="clear"/>
            <w:vAlign w:val="center"/>
          </w:tcPr>
          <w:p>
            <w:pPr>
              <w:pStyle w:val="TableContents"/>
              <w:bidi w:val="0"/>
              <w:spacing w:before="0" w:after="283"/>
              <w:jc w:val="right"/>
              <w:rPr>
                <w:sz w:val="20"/>
              </w:rPr>
            </w:pPr>
            <w:r>
              <w:rPr>
                <w:sz w:val="20"/>
              </w:rPr>
              <w:t>1,714</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Cost of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Professional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sz w:val="20"/>
              </w:rPr>
            </w:pPr>
            <w:r>
              <w:rPr>
                <w:sz w:val="20"/>
              </w:rPr>
              <w:t>$</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sz w:val="20"/>
              </w:rPr>
            </w:pPr>
            <w:r>
              <w:rPr>
                <w:sz w:val="20"/>
              </w:rPr>
              <w:t>$</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156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sz w:val="20"/>
              </w:rPr>
            </w:pPr>
            <w:r>
              <w:rPr>
                <w:sz w:val="20"/>
              </w:rPr>
              <w:t>$</w:t>
            </w:r>
          </w:p>
        </w:tc>
        <w:tc>
          <w:tcPr>
            <w:tcW w:w="1152"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sz w:val="20"/>
              </w:rPr>
            </w:pPr>
            <w:r>
              <w:rPr>
                <w:sz w:val="20"/>
              </w:rPr>
              <w:t>$</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156</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Subcontractor and contract labor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sz w:val="20"/>
              </w:rPr>
            </w:pPr>
            <w:r>
              <w:rPr>
                <w:sz w:val="20"/>
              </w:rPr>
              <w:t>428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sz w:val="20"/>
              </w:rPr>
            </w:pPr>
            <w:r>
              <w:rPr>
                <w:sz w:val="20"/>
              </w:rPr>
              <w:t>428</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Amortization of intangible assets (NMO)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CCEEFF" w:val="clear"/>
            <w:vAlign w:val="center"/>
          </w:tcPr>
          <w:p>
            <w:pPr>
              <w:pStyle w:val="TableContents"/>
              <w:bidi w:val="0"/>
              <w:spacing w:before="0" w:after="283"/>
              <w:jc w:val="left"/>
              <w:rPr/>
            </w:pPr>
            <w:r>
              <w:rPr/>
              <w:t> </w:t>
            </w:r>
          </w:p>
        </w:tc>
        <w:tc>
          <w:tcPr>
            <w:tcW w:w="862"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CCEEFF" w:val="clear"/>
            <w:vAlign w:val="center"/>
          </w:tcPr>
          <w:p>
            <w:pPr>
              <w:pStyle w:val="TableContents"/>
              <w:bidi w:val="0"/>
              <w:spacing w:before="0" w:after="283"/>
              <w:jc w:val="left"/>
              <w:rPr/>
            </w:pPr>
            <w:r>
              <w:rPr/>
              <w:t> </w:t>
            </w:r>
          </w:p>
        </w:tc>
        <w:tc>
          <w:tcPr>
            <w:tcW w:w="1206"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bottom w:val="single" w:sz="8" w:space="0" w:color="000000"/>
            </w:tcBorders>
            <w:shd w:fill="CCEEFF" w:val="clear"/>
            <w:vAlign w:val="center"/>
          </w:tcPr>
          <w:p>
            <w:pPr>
              <w:pStyle w:val="TableContents"/>
              <w:bidi w:val="0"/>
              <w:spacing w:before="0" w:after="283"/>
              <w:jc w:val="left"/>
              <w:rPr/>
            </w:pPr>
            <w:r>
              <w:rPr/>
              <w:t> </w:t>
            </w:r>
          </w:p>
        </w:tc>
        <w:tc>
          <w:tcPr>
            <w:tcW w:w="1152"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CCEEFF" w:val="clear"/>
            <w:vAlign w:val="center"/>
          </w:tcPr>
          <w:p>
            <w:pPr>
              <w:pStyle w:val="TableContents"/>
              <w:bidi w:val="0"/>
              <w:spacing w:before="0" w:after="283"/>
              <w:jc w:val="left"/>
              <w:rPr/>
            </w:pPr>
            <w:r>
              <w:rPr/>
              <w:t> </w:t>
            </w:r>
          </w:p>
        </w:tc>
        <w:tc>
          <w:tcPr>
            <w:tcW w:w="1037" w:type="dxa"/>
            <w:tcBorders>
              <w:bottom w:val="single" w:sz="8" w:space="0" w:color="000000"/>
            </w:tcBorders>
            <w:shd w:fill="CCEEFF" w:val="clear"/>
            <w:vAlign w:val="center"/>
          </w:tcPr>
          <w:p>
            <w:pPr>
              <w:pStyle w:val="TableContents"/>
              <w:bidi w:val="0"/>
              <w:spacing w:before="0" w:after="283"/>
              <w:jc w:val="right"/>
              <w:rPr>
                <w:sz w:val="20"/>
              </w:rPr>
            </w:pPr>
            <w:r>
              <w:rPr>
                <w:sz w:val="20"/>
              </w:rPr>
              <w:t>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sz w:val="20"/>
              </w:rPr>
            </w:pPr>
            <w:r>
              <w:rPr>
                <w:sz w:val="20"/>
              </w:rPr>
              <w:t>(BB)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sz w:val="20"/>
              </w:rPr>
            </w:pPr>
            <w:r>
              <w:rPr>
                <w:sz w:val="20"/>
              </w:rPr>
              <w:t>44</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Total cost of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862"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1206" w:type="dxa"/>
            <w:tcBorders>
              <w:bottom w:val="single" w:sz="8" w:space="0" w:color="000000"/>
            </w:tcBorders>
            <w:shd w:fill="FFFFFF" w:val="clear"/>
            <w:vAlign w:val="center"/>
          </w:tcPr>
          <w:p>
            <w:pPr>
              <w:pStyle w:val="TableContents"/>
              <w:bidi w:val="0"/>
              <w:spacing w:before="0" w:after="283"/>
              <w:jc w:val="right"/>
              <w:rPr>
                <w:sz w:val="20"/>
              </w:rPr>
            </w:pPr>
            <w:r>
              <w:rPr>
                <w:sz w:val="20"/>
              </w:rPr>
              <w:t>584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1152"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1037" w:type="dxa"/>
            <w:tcBorders>
              <w:bottom w:val="single" w:sz="8" w:space="0" w:color="000000"/>
            </w:tcBorders>
            <w:shd w:fill="FFFFFF" w:val="clear"/>
            <w:vAlign w:val="center"/>
          </w:tcPr>
          <w:p>
            <w:pPr>
              <w:pStyle w:val="TableContents"/>
              <w:bidi w:val="0"/>
              <w:spacing w:before="0" w:after="283"/>
              <w:jc w:val="right"/>
              <w:rPr>
                <w:sz w:val="20"/>
              </w:rPr>
            </w:pPr>
            <w:r>
              <w:rPr>
                <w:sz w:val="20"/>
              </w:rPr>
              <w:t>44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984" w:type="dxa"/>
            <w:tcBorders>
              <w:bottom w:val="single" w:sz="8" w:space="0" w:color="000000"/>
            </w:tcBorders>
            <w:shd w:fill="FFFFFF" w:val="clear"/>
            <w:vAlign w:val="center"/>
          </w:tcPr>
          <w:p>
            <w:pPr>
              <w:pStyle w:val="TableContents"/>
              <w:bidi w:val="0"/>
              <w:spacing w:before="0" w:after="283"/>
              <w:jc w:val="right"/>
              <w:rPr>
                <w:sz w:val="20"/>
              </w:rPr>
            </w:pPr>
            <w:r>
              <w:rPr>
                <w:sz w:val="20"/>
              </w:rPr>
              <w:t>628</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sz w:val="20"/>
              </w:rPr>
            </w:pPr>
            <w:r>
              <w:rPr>
                <w:sz w:val="20"/>
              </w:rPr>
              <w:t>$</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sz w:val="20"/>
              </w:rPr>
            </w:pPr>
            <w:r>
              <w:rPr>
                <w:sz w:val="20"/>
              </w:rPr>
              <w:t>$</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1,130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sz w:val="20"/>
              </w:rPr>
            </w:pPr>
            <w:r>
              <w:rPr>
                <w:sz w:val="20"/>
              </w:rPr>
              <w:t>$</w:t>
            </w:r>
          </w:p>
        </w:tc>
        <w:tc>
          <w:tcPr>
            <w:tcW w:w="1152"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sz w:val="20"/>
              </w:rPr>
            </w:pPr>
            <w:r>
              <w:rPr>
                <w:sz w:val="20"/>
              </w:rPr>
              <w:t>$</w:t>
            </w:r>
          </w:p>
        </w:tc>
        <w:tc>
          <w:tcPr>
            <w:tcW w:w="1037" w:type="dxa"/>
            <w:tcBorders/>
            <w:shd w:fill="CCEEFF" w:val="clear"/>
            <w:tcMar>
              <w:bottom w:w="0" w:type="dxa"/>
            </w:tcMar>
            <w:vAlign w:val="center"/>
          </w:tcPr>
          <w:p>
            <w:pPr>
              <w:pStyle w:val="TableContents"/>
              <w:bidi w:val="0"/>
              <w:spacing w:before="0" w:after="283"/>
              <w:jc w:val="right"/>
              <w:rPr>
                <w:sz w:val="20"/>
              </w:rPr>
            </w:pPr>
            <w:r>
              <w:rPr>
                <w:sz w:val="20"/>
              </w:rPr>
              <w:t>(44</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sz w:val="20"/>
              </w:rPr>
            </w:pPr>
            <w:r>
              <w:rPr>
                <w:sz w:val="20"/>
              </w:rPr>
              <w:t>$</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1,086</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Operating expenses (income)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sz w:val="20"/>
              </w:rPr>
            </w:pPr>
            <w:r>
              <w:rPr>
                <w:sz w:val="20"/>
              </w:rPr>
              <w:t>$</w:t>
            </w:r>
          </w:p>
        </w:tc>
        <w:tc>
          <w:tcPr>
            <w:tcW w:w="862" w:type="dxa"/>
            <w:tcBorders/>
            <w:shd w:fill="FFFFFF" w:val="clear"/>
            <w:tcMar>
              <w:bottom w:w="0" w:type="dxa"/>
            </w:tcMar>
            <w:vAlign w:val="center"/>
          </w:tcPr>
          <w:p>
            <w:pPr>
              <w:pStyle w:val="TableContents"/>
              <w:bidi w:val="0"/>
              <w:spacing w:before="0" w:after="283"/>
              <w:jc w:val="right"/>
              <w:rPr>
                <w:sz w:val="20"/>
              </w:rPr>
            </w:pPr>
            <w:r>
              <w:rPr>
                <w:sz w:val="20"/>
              </w:rPr>
              <w:t>3,051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sz w:val="20"/>
              </w:rPr>
            </w:pPr>
            <w:r>
              <w:rPr>
                <w:sz w:val="20"/>
              </w:rPr>
              <w:t>$</w:t>
            </w:r>
          </w:p>
        </w:tc>
        <w:tc>
          <w:tcPr>
            <w:tcW w:w="1206"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sz w:val="20"/>
              </w:rPr>
            </w:pPr>
            <w:r>
              <w:rPr>
                <w:sz w:val="20"/>
              </w:rPr>
              <w:t>$</w:t>
            </w:r>
          </w:p>
        </w:tc>
        <w:tc>
          <w:tcPr>
            <w:tcW w:w="1152" w:type="dxa"/>
            <w:tcBorders/>
            <w:shd w:fill="FFFFFF" w:val="clear"/>
            <w:tcMar>
              <w:bottom w:w="0" w:type="dxa"/>
            </w:tcMar>
            <w:vAlign w:val="center"/>
          </w:tcPr>
          <w:p>
            <w:pPr>
              <w:pStyle w:val="TableContents"/>
              <w:bidi w:val="0"/>
              <w:spacing w:before="0" w:after="283"/>
              <w:jc w:val="right"/>
              <w:rPr>
                <w:sz w:val="20"/>
              </w:rPr>
            </w:pPr>
            <w:r>
              <w:rPr>
                <w:sz w:val="20"/>
              </w:rPr>
              <w:t>534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sz w:val="20"/>
              </w:rPr>
            </w:pPr>
            <w:r>
              <w:rPr>
                <w:sz w:val="20"/>
              </w:rPr>
              <w:t>(DD)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sz w:val="20"/>
              </w:rPr>
            </w:pPr>
            <w:r>
              <w:rPr>
                <w:sz w:val="20"/>
              </w:rPr>
              <w:t>$</w:t>
            </w:r>
          </w:p>
        </w:tc>
        <w:tc>
          <w:tcPr>
            <w:tcW w:w="984" w:type="dxa"/>
            <w:tcBorders/>
            <w:shd w:fill="FFFFFF" w:val="clear"/>
            <w:tcMar>
              <w:bottom w:w="0" w:type="dxa"/>
            </w:tcMar>
            <w:vAlign w:val="center"/>
          </w:tcPr>
          <w:p>
            <w:pPr>
              <w:pStyle w:val="TableContents"/>
              <w:bidi w:val="0"/>
              <w:spacing w:before="0" w:after="283"/>
              <w:jc w:val="right"/>
              <w:rPr>
                <w:sz w:val="20"/>
              </w:rPr>
            </w:pPr>
            <w:r>
              <w:rPr>
                <w:sz w:val="20"/>
              </w:rPr>
              <w:t>3,585</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Legal settlement and litigation benefit,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(779</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(779</w:t>
            </w:r>
          </w:p>
        </w:tc>
        <w:tc>
          <w:tcPr>
            <w:tcW w:w="1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sz w:val="20"/>
              </w:rPr>
            </w:pPr>
            <w:r>
              <w:rPr>
                <w:sz w:val="20"/>
              </w:rPr>
              <w:t>479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sz w:val="20"/>
              </w:rPr>
            </w:pPr>
            <w:r>
              <w:rPr>
                <w:sz w:val="20"/>
              </w:rPr>
              <w:t>(479</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sz w:val="20"/>
              </w:rPr>
            </w:pPr>
            <w:r>
              <w:rPr>
                <w:sz w:val="20"/>
              </w:rPr>
              <w:t>(DD)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Occupancy and facilities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sz w:val="20"/>
              </w:rPr>
            </w:pPr>
            <w:r>
              <w:rPr>
                <w:sz w:val="20"/>
              </w:rPr>
              <w:t>(55</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sz w:val="20"/>
              </w:rPr>
            </w:pPr>
            <w:r>
              <w:rPr>
                <w:sz w:val="20"/>
              </w:rPr>
              <w:t>(DD)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Marketing and advertising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FFFFFF" w:val="clear"/>
            <w:vAlign w:val="center"/>
          </w:tcPr>
          <w:p>
            <w:pPr>
              <w:pStyle w:val="TableContents"/>
              <w:bidi w:val="0"/>
              <w:spacing w:before="0" w:after="283"/>
              <w:jc w:val="left"/>
              <w:rPr/>
            </w:pPr>
            <w:r>
              <w:rPr/>
              <w:t> </w:t>
            </w:r>
          </w:p>
        </w:tc>
        <w:tc>
          <w:tcPr>
            <w:tcW w:w="862"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206" w:type="dxa"/>
            <w:tcBorders>
              <w:bottom w:val="single" w:sz="8" w:space="0" w:color="000000"/>
            </w:tcBorders>
            <w:shd w:fill="FFFFFF" w:val="clear"/>
            <w:vAlign w:val="center"/>
          </w:tcPr>
          <w:p>
            <w:pPr>
              <w:pStyle w:val="TableContents"/>
              <w:bidi w:val="0"/>
              <w:spacing w:before="0" w:after="283"/>
              <w:jc w:val="right"/>
              <w:rPr>
                <w:sz w:val="20"/>
              </w:rPr>
            </w:pPr>
            <w:r>
              <w:rPr>
                <w:sz w:val="20"/>
              </w:rPr>
              <w:t>55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single" w:sz="8" w:space="0" w:color="000000"/>
            </w:tcBorders>
            <w:shd w:fill="FFFFFF" w:val="clear"/>
            <w:vAlign w:val="center"/>
          </w:tcPr>
          <w:p>
            <w:pPr>
              <w:pStyle w:val="TableContents"/>
              <w:bidi w:val="0"/>
              <w:spacing w:before="0" w:after="283"/>
              <w:jc w:val="left"/>
              <w:rPr/>
            </w:pPr>
            <w:r>
              <w:rPr/>
              <w:t> </w:t>
            </w:r>
          </w:p>
        </w:tc>
        <w:tc>
          <w:tcPr>
            <w:tcW w:w="1152"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FFFFFF" w:val="clear"/>
            <w:vAlign w:val="center"/>
          </w:tcPr>
          <w:p>
            <w:pPr>
              <w:pStyle w:val="TableContents"/>
              <w:bidi w:val="0"/>
              <w:spacing w:before="0" w:after="283"/>
              <w:jc w:val="left"/>
              <w:rPr/>
            </w:pPr>
            <w:r>
              <w:rPr/>
              <w:t> </w:t>
            </w:r>
          </w:p>
        </w:tc>
        <w:tc>
          <w:tcPr>
            <w:tcW w:w="1037"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sz w:val="20"/>
              </w:rPr>
            </w:pPr>
            <w:r>
              <w:rPr>
                <w:sz w:val="20"/>
              </w:rPr>
              <w:t>55</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Total operating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862" w:type="dxa"/>
            <w:tcBorders>
              <w:bottom w:val="single" w:sz="8" w:space="0" w:color="000000"/>
            </w:tcBorders>
            <w:shd w:fill="CCEEFF" w:val="clear"/>
            <w:vAlign w:val="center"/>
          </w:tcPr>
          <w:p>
            <w:pPr>
              <w:pStyle w:val="TableContents"/>
              <w:bidi w:val="0"/>
              <w:spacing w:before="0" w:after="283"/>
              <w:jc w:val="right"/>
              <w:rPr>
                <w:sz w:val="20"/>
              </w:rPr>
            </w:pPr>
            <w:r>
              <w:rPr>
                <w:sz w:val="20"/>
              </w:rPr>
              <w:t>2,272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1206" w:type="dxa"/>
            <w:tcBorders>
              <w:bottom w:val="single" w:sz="8" w:space="0" w:color="000000"/>
            </w:tcBorders>
            <w:shd w:fill="CCEEFF" w:val="clear"/>
            <w:vAlign w:val="center"/>
          </w:tcPr>
          <w:p>
            <w:pPr>
              <w:pStyle w:val="TableContents"/>
              <w:bidi w:val="0"/>
              <w:spacing w:before="0" w:after="283"/>
              <w:jc w:val="right"/>
              <w:rPr>
                <w:sz w:val="20"/>
              </w:rPr>
            </w:pPr>
            <w:r>
              <w:rPr>
                <w:sz w:val="20"/>
              </w:rPr>
              <w:t>589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1152"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1037"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984" w:type="dxa"/>
            <w:tcBorders>
              <w:bottom w:val="single" w:sz="8" w:space="0" w:color="000000"/>
            </w:tcBorders>
            <w:shd w:fill="CCEEFF" w:val="clear"/>
            <w:vAlign w:val="center"/>
          </w:tcPr>
          <w:p>
            <w:pPr>
              <w:pStyle w:val="TableContents"/>
              <w:bidi w:val="0"/>
              <w:spacing w:before="0" w:after="283"/>
              <w:jc w:val="right"/>
              <w:rPr>
                <w:sz w:val="20"/>
              </w:rPr>
            </w:pPr>
            <w:r>
              <w:rPr>
                <w:sz w:val="20"/>
              </w:rPr>
              <w:t>2,861</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(Loss) 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sz w:val="20"/>
              </w:rPr>
            </w:pPr>
            <w:r>
              <w:rPr>
                <w:sz w:val="20"/>
              </w:rPr>
              <w:t>$</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(2,272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sz w:val="20"/>
              </w:rPr>
            </w:pPr>
            <w:r>
              <w:rPr>
                <w:sz w:val="20"/>
              </w:rPr>
              <w:t>$</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541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sz w:val="20"/>
              </w:rPr>
            </w:pPr>
            <w:r>
              <w:rPr>
                <w:sz w:val="20"/>
              </w:rPr>
              <w:t>$</w:t>
            </w:r>
          </w:p>
        </w:tc>
        <w:tc>
          <w:tcPr>
            <w:tcW w:w="115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sz w:val="20"/>
              </w:rPr>
            </w:pPr>
            <w:r>
              <w:rPr>
                <w:sz w:val="20"/>
              </w:rPr>
              <w:t>$</w:t>
            </w:r>
          </w:p>
        </w:tc>
        <w:tc>
          <w:tcPr>
            <w:tcW w:w="1037" w:type="dxa"/>
            <w:tcBorders/>
            <w:shd w:fill="CCEEFF" w:val="clear"/>
            <w:tcMar>
              <w:bottom w:w="0" w:type="dxa"/>
            </w:tcMar>
            <w:vAlign w:val="center"/>
          </w:tcPr>
          <w:p>
            <w:pPr>
              <w:pStyle w:val="TableContents"/>
              <w:bidi w:val="0"/>
              <w:spacing w:before="0" w:after="283"/>
              <w:jc w:val="right"/>
              <w:rPr>
                <w:sz w:val="20"/>
              </w:rPr>
            </w:pPr>
            <w:r>
              <w:rPr>
                <w:sz w:val="20"/>
              </w:rPr>
              <w:t>(44</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sz w:val="20"/>
              </w:rPr>
            </w:pPr>
            <w:r>
              <w:rPr>
                <w:sz w:val="20"/>
              </w:rPr>
              <w:t>$</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(1,775</w:t>
            </w:r>
          </w:p>
        </w:tc>
        <w:tc>
          <w:tcPr>
            <w:tcW w:w="1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Other (expense)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Other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sz w:val="20"/>
              </w:rPr>
            </w:pPr>
            <w:r>
              <w:rPr>
                <w:sz w:val="20"/>
              </w:rPr>
              <w:t>(68</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sz w:val="20"/>
              </w:rPr>
            </w:pPr>
            <w:r>
              <w:rPr>
                <w:sz w:val="20"/>
              </w:rPr>
              <w:t>(37</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sz w:val="20"/>
              </w:rPr>
            </w:pPr>
            <w:r>
              <w:rPr>
                <w:sz w:val="20"/>
              </w:rPr>
              <w:t>(105</w:t>
            </w:r>
          </w:p>
        </w:tc>
        <w:tc>
          <w:tcPr>
            <w:tcW w:w="103"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Investment and interest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1,172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(21</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sz w:val="20"/>
              </w:rPr>
            </w:pPr>
            <w:r>
              <w:rPr>
                <w:sz w:val="20"/>
              </w:rPr>
              <w:t>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sz w:val="20"/>
              </w:rPr>
            </w:pPr>
            <w:r>
              <w:rPr>
                <w:sz w:val="20"/>
              </w:rPr>
              <w:t>(AA)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1,172</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FFFFFF" w:val="clear"/>
            <w:vAlign w:val="center"/>
          </w:tcPr>
          <w:p>
            <w:pPr>
              <w:pStyle w:val="TableContents"/>
              <w:bidi w:val="0"/>
              <w:spacing w:before="0" w:after="283"/>
              <w:jc w:val="left"/>
              <w:rPr/>
            </w:pPr>
            <w:r>
              <w:rPr/>
              <w:t> </w:t>
            </w:r>
          </w:p>
        </w:tc>
        <w:tc>
          <w:tcPr>
            <w:tcW w:w="862"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206"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single" w:sz="8" w:space="0" w:color="000000"/>
            </w:tcBorders>
            <w:shd w:fill="FFFFFF" w:val="clear"/>
            <w:vAlign w:val="center"/>
          </w:tcPr>
          <w:p>
            <w:pPr>
              <w:pStyle w:val="TableContents"/>
              <w:bidi w:val="0"/>
              <w:spacing w:before="0" w:after="283"/>
              <w:jc w:val="left"/>
              <w:rPr/>
            </w:pPr>
            <w:r>
              <w:rPr/>
              <w:t> </w:t>
            </w:r>
          </w:p>
        </w:tc>
        <w:tc>
          <w:tcPr>
            <w:tcW w:w="1152"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FFFFFF" w:val="clear"/>
            <w:vAlign w:val="center"/>
          </w:tcPr>
          <w:p>
            <w:pPr>
              <w:pStyle w:val="TableContents"/>
              <w:bidi w:val="0"/>
              <w:spacing w:before="0" w:after="283"/>
              <w:jc w:val="left"/>
              <w:rPr/>
            </w:pPr>
            <w:r>
              <w:rPr/>
              <w:t> </w:t>
            </w:r>
          </w:p>
        </w:tc>
        <w:tc>
          <w:tcPr>
            <w:tcW w:w="1037" w:type="dxa"/>
            <w:tcBorders>
              <w:bottom w:val="single" w:sz="8" w:space="0" w:color="000000"/>
            </w:tcBorders>
            <w:shd w:fill="FFFFFF" w:val="clear"/>
            <w:vAlign w:val="center"/>
          </w:tcPr>
          <w:p>
            <w:pPr>
              <w:pStyle w:val="TableContents"/>
              <w:bidi w:val="0"/>
              <w:spacing w:before="0" w:after="283"/>
              <w:jc w:val="right"/>
              <w:rPr>
                <w:sz w:val="20"/>
              </w:rPr>
            </w:pPr>
            <w:r>
              <w:rPr>
                <w:sz w:val="20"/>
              </w:rPr>
              <w:t>(149</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sz w:val="20"/>
              </w:rPr>
            </w:pPr>
            <w:r>
              <w:rPr>
                <w:sz w:val="20"/>
              </w:rPr>
              <w:t>(BB)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sz w:val="20"/>
              </w:rPr>
            </w:pPr>
            <w:r>
              <w:rPr>
                <w:sz w:val="20"/>
              </w:rPr>
              <w:t>(149</w:t>
            </w:r>
          </w:p>
        </w:tc>
        <w:tc>
          <w:tcPr>
            <w:tcW w:w="103"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(Loss) income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sz w:val="20"/>
              </w:rPr>
            </w:pPr>
            <w:r>
              <w:rPr>
                <w:sz w:val="20"/>
              </w:rPr>
              <w:t>$</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(1,168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sz w:val="20"/>
              </w:rPr>
            </w:pPr>
            <w:r>
              <w:rPr>
                <w:sz w:val="20"/>
              </w:rPr>
              <w:t>$</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483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sz w:val="20"/>
              </w:rPr>
            </w:pPr>
            <w:r>
              <w:rPr>
                <w:sz w:val="20"/>
              </w:rPr>
              <w:t>$</w:t>
            </w:r>
          </w:p>
        </w:tc>
        <w:tc>
          <w:tcPr>
            <w:tcW w:w="115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sz w:val="20"/>
              </w:rPr>
            </w:pPr>
            <w:r>
              <w:rPr>
                <w:sz w:val="20"/>
              </w:rPr>
              <w:t>$</w:t>
            </w:r>
          </w:p>
        </w:tc>
        <w:tc>
          <w:tcPr>
            <w:tcW w:w="1037" w:type="dxa"/>
            <w:tcBorders/>
            <w:shd w:fill="CCEEFF" w:val="clear"/>
            <w:tcMar>
              <w:bottom w:w="0" w:type="dxa"/>
            </w:tcMar>
            <w:vAlign w:val="center"/>
          </w:tcPr>
          <w:p>
            <w:pPr>
              <w:pStyle w:val="TableContents"/>
              <w:bidi w:val="0"/>
              <w:spacing w:before="0" w:after="283"/>
              <w:jc w:val="right"/>
              <w:rPr>
                <w:sz w:val="20"/>
              </w:rPr>
            </w:pPr>
            <w:r>
              <w:rPr>
                <w:sz w:val="20"/>
              </w:rPr>
              <w:t>(172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sz w:val="20"/>
              </w:rPr>
            </w:pPr>
            <w:r>
              <w:rPr>
                <w:sz w:val="20"/>
              </w:rPr>
              <w:t>$</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(857</w:t>
            </w:r>
          </w:p>
        </w:tc>
        <w:tc>
          <w:tcPr>
            <w:tcW w:w="1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Income tax expense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FFFFFF" w:val="clear"/>
            <w:vAlign w:val="center"/>
          </w:tcPr>
          <w:p>
            <w:pPr>
              <w:pStyle w:val="TableContents"/>
              <w:bidi w:val="0"/>
              <w:spacing w:before="0" w:after="283"/>
              <w:jc w:val="left"/>
              <w:rPr/>
            </w:pPr>
            <w:r>
              <w:rPr/>
              <w:t> </w:t>
            </w:r>
          </w:p>
        </w:tc>
        <w:tc>
          <w:tcPr>
            <w:tcW w:w="862"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206"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single" w:sz="8" w:space="0" w:color="000000"/>
            </w:tcBorders>
            <w:shd w:fill="FFFFFF" w:val="clear"/>
            <w:vAlign w:val="center"/>
          </w:tcPr>
          <w:p>
            <w:pPr>
              <w:pStyle w:val="TableContents"/>
              <w:bidi w:val="0"/>
              <w:spacing w:before="0" w:after="283"/>
              <w:jc w:val="left"/>
              <w:rPr/>
            </w:pPr>
            <w:r>
              <w:rPr/>
              <w:t> </w:t>
            </w:r>
          </w:p>
        </w:tc>
        <w:tc>
          <w:tcPr>
            <w:tcW w:w="1152"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FFFFFF" w:val="clear"/>
            <w:vAlign w:val="center"/>
          </w:tcPr>
          <w:p>
            <w:pPr>
              <w:pStyle w:val="TableContents"/>
              <w:bidi w:val="0"/>
              <w:spacing w:before="0" w:after="283"/>
              <w:jc w:val="left"/>
              <w:rPr/>
            </w:pPr>
            <w:r>
              <w:rPr/>
              <w:t> </w:t>
            </w:r>
          </w:p>
        </w:tc>
        <w:tc>
          <w:tcPr>
            <w:tcW w:w="1037"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pPr>
            <w:r>
              <w:rPr/>
              <w:t>—</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Net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(1,168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483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sz w:val="20"/>
              </w:rPr>
            </w:pPr>
            <w:r>
              <w:rPr>
                <w:sz w:val="20"/>
              </w:rPr>
              <w:t>(172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(857</w:t>
            </w:r>
          </w:p>
        </w:tc>
        <w:tc>
          <w:tcPr>
            <w:tcW w:w="1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Net loss attributable to non-controlling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FFFFFF" w:val="clear"/>
            <w:vAlign w:val="center"/>
          </w:tcPr>
          <w:p>
            <w:pPr>
              <w:pStyle w:val="TableContents"/>
              <w:bidi w:val="0"/>
              <w:spacing w:before="0" w:after="283"/>
              <w:jc w:val="left"/>
              <w:rPr/>
            </w:pPr>
            <w:r>
              <w:rPr/>
              <w:t> </w:t>
            </w:r>
          </w:p>
        </w:tc>
        <w:tc>
          <w:tcPr>
            <w:tcW w:w="862"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206"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single" w:sz="8" w:space="0" w:color="000000"/>
            </w:tcBorders>
            <w:shd w:fill="FFFFFF" w:val="clear"/>
            <w:vAlign w:val="center"/>
          </w:tcPr>
          <w:p>
            <w:pPr>
              <w:pStyle w:val="TableContents"/>
              <w:bidi w:val="0"/>
              <w:spacing w:before="0" w:after="283"/>
              <w:jc w:val="left"/>
              <w:rPr/>
            </w:pPr>
            <w:r>
              <w:rPr/>
              <w:t> </w:t>
            </w:r>
          </w:p>
        </w:tc>
        <w:tc>
          <w:tcPr>
            <w:tcW w:w="1037" w:type="dxa"/>
            <w:tcBorders>
              <w:bottom w:val="single" w:sz="8" w:space="0" w:color="000000"/>
            </w:tcBorders>
            <w:shd w:fill="FFFFFF" w:val="clear"/>
            <w:vAlign w:val="center"/>
          </w:tcPr>
          <w:p>
            <w:pPr>
              <w:pStyle w:val="TableContents"/>
              <w:bidi w:val="0"/>
              <w:spacing w:before="0" w:after="283"/>
              <w:jc w:val="right"/>
              <w:rPr>
                <w:sz w:val="20"/>
              </w:rPr>
            </w:pPr>
            <w:r>
              <w:rPr>
                <w:sz w:val="20"/>
              </w:rPr>
              <w:t>(29</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sz w:val="20"/>
              </w:rPr>
            </w:pPr>
            <w:r>
              <w:rPr>
                <w:sz w:val="20"/>
              </w:rPr>
              <w:t>(CC)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sz w:val="20"/>
              </w:rPr>
            </w:pPr>
            <w:r>
              <w:rPr>
                <w:sz w:val="20"/>
              </w:rPr>
              <w:t>(29</w:t>
            </w:r>
          </w:p>
        </w:tc>
        <w:tc>
          <w:tcPr>
            <w:tcW w:w="103"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Net (loss) income attributable to Stark Novus Financial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sz w:val="20"/>
              </w:rPr>
            </w:pPr>
            <w:r>
              <w:rPr>
                <w:sz w:val="20"/>
              </w:rPr>
              <w:t>$</w:t>
            </w:r>
          </w:p>
        </w:tc>
        <w:tc>
          <w:tcPr>
            <w:tcW w:w="862" w:type="dxa"/>
            <w:tcBorders/>
            <w:shd w:fill="CCEEFF" w:val="clear"/>
            <w:tcMar>
              <w:bottom w:w="0" w:type="dxa"/>
            </w:tcMar>
            <w:vAlign w:val="center"/>
          </w:tcPr>
          <w:p>
            <w:pPr>
              <w:pStyle w:val="TableContents"/>
              <w:bidi w:val="0"/>
              <w:spacing w:before="0" w:after="283"/>
              <w:jc w:val="right"/>
              <w:rPr>
                <w:sz w:val="20"/>
              </w:rPr>
            </w:pPr>
            <w:r>
              <w:rPr>
                <w:sz w:val="20"/>
              </w:rPr>
              <w:t>(1,168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sz w:val="20"/>
              </w:rPr>
            </w:pPr>
            <w:r>
              <w:rPr>
                <w:sz w:val="20"/>
              </w:rPr>
              <w:t>$</w:t>
            </w:r>
          </w:p>
        </w:tc>
        <w:tc>
          <w:tcPr>
            <w:tcW w:w="1206" w:type="dxa"/>
            <w:tcBorders/>
            <w:shd w:fill="CCEEFF" w:val="clear"/>
            <w:tcMar>
              <w:bottom w:w="0" w:type="dxa"/>
            </w:tcMar>
            <w:vAlign w:val="center"/>
          </w:tcPr>
          <w:p>
            <w:pPr>
              <w:pStyle w:val="TableContents"/>
              <w:bidi w:val="0"/>
              <w:spacing w:before="0" w:after="283"/>
              <w:jc w:val="right"/>
              <w:rPr>
                <w:sz w:val="20"/>
              </w:rPr>
            </w:pPr>
            <w:r>
              <w:rPr>
                <w:sz w:val="20"/>
              </w:rPr>
              <w:t>483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sz w:val="20"/>
              </w:rPr>
            </w:pPr>
            <w:r>
              <w:rPr>
                <w:sz w:val="20"/>
              </w:rPr>
              <w:t>$</w:t>
            </w:r>
          </w:p>
        </w:tc>
        <w:tc>
          <w:tcPr>
            <w:tcW w:w="115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sz w:val="20"/>
              </w:rPr>
            </w:pPr>
            <w:r>
              <w:rPr>
                <w:sz w:val="20"/>
              </w:rPr>
              <w:t>$</w:t>
            </w:r>
          </w:p>
        </w:tc>
        <w:tc>
          <w:tcPr>
            <w:tcW w:w="1037" w:type="dxa"/>
            <w:tcBorders/>
            <w:shd w:fill="CCEEFF" w:val="clear"/>
            <w:tcMar>
              <w:bottom w:w="0" w:type="dxa"/>
            </w:tcMar>
            <w:vAlign w:val="center"/>
          </w:tcPr>
          <w:p>
            <w:pPr>
              <w:pStyle w:val="TableContents"/>
              <w:bidi w:val="0"/>
              <w:spacing w:before="0" w:after="283"/>
              <w:jc w:val="right"/>
              <w:rPr>
                <w:sz w:val="20"/>
              </w:rPr>
            </w:pPr>
            <w:r>
              <w:rPr>
                <w:sz w:val="20"/>
              </w:rPr>
              <w:t>(143</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sz w:val="20"/>
              </w:rPr>
            </w:pPr>
            <w:r>
              <w:rPr>
                <w:sz w:val="20"/>
              </w:rPr>
              <w:t>$</w:t>
            </w:r>
          </w:p>
        </w:tc>
        <w:tc>
          <w:tcPr>
            <w:tcW w:w="984" w:type="dxa"/>
            <w:tcBorders/>
            <w:shd w:fill="CCEEFF" w:val="clear"/>
            <w:tcMar>
              <w:bottom w:w="0" w:type="dxa"/>
            </w:tcMar>
            <w:vAlign w:val="center"/>
          </w:tcPr>
          <w:p>
            <w:pPr>
              <w:pStyle w:val="TableContents"/>
              <w:bidi w:val="0"/>
              <w:spacing w:before="0" w:after="283"/>
              <w:jc w:val="right"/>
              <w:rPr>
                <w:sz w:val="20"/>
              </w:rPr>
            </w:pPr>
            <w:r>
              <w:rPr>
                <w:sz w:val="20"/>
              </w:rPr>
              <w:t>(828</w:t>
            </w:r>
          </w:p>
        </w:tc>
        <w:tc>
          <w:tcPr>
            <w:tcW w:w="1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accrued preferred stock dividend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common shareholders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6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shd w:fill="FFFFFF" w:val="clear"/>
            <w:tcMar>
              <w:bottom w:w="0" w:type="dxa"/>
            </w:tcMar>
            <w:vAlign w:val="center"/>
          </w:tcPr>
          <w:p>
            <w:pPr>
              <w:pStyle w:val="TableContents"/>
              <w:bidi w:val="0"/>
              <w:spacing w:before="0" w:after="283"/>
              <w:jc w:val="left"/>
              <w:rPr/>
            </w:pPr>
            <w:r>
              <w:rPr/>
              <w:t> </w:t>
            </w:r>
          </w:p>
        </w:tc>
        <w:tc>
          <w:tcPr>
            <w:tcW w:w="1152"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Net loss per share attributable to common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FFFFFF" w:val="clear"/>
            <w:vAlign w:val="center"/>
          </w:tcPr>
          <w:p>
            <w:pPr>
              <w:pStyle w:val="TableContents"/>
              <w:bidi w:val="0"/>
              <w:spacing w:before="0" w:after="283"/>
              <w:jc w:val="right"/>
              <w:rPr>
                <w:sz w:val="20"/>
              </w:rPr>
            </w:pPr>
            <w:r>
              <w:rPr>
                <w:sz w:val="20"/>
              </w:rPr>
              <w:t>(0.17</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206"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152"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037" w:type="dxa"/>
            <w:tcBorders>
              <w:bottom w:val="double" w:sz="6"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984" w:type="dxa"/>
            <w:tcBorders>
              <w:bottom w:val="double" w:sz="6" w:space="0" w:color="000000"/>
            </w:tcBorders>
            <w:shd w:fill="FFFFFF" w:val="clear"/>
            <w:vAlign w:val="center"/>
          </w:tcPr>
          <w:p>
            <w:pPr>
              <w:pStyle w:val="TableContents"/>
              <w:bidi w:val="0"/>
              <w:spacing w:before="0" w:after="283"/>
              <w:jc w:val="right"/>
              <w:rPr>
                <w:sz w:val="20"/>
              </w:rPr>
            </w:pPr>
            <w:r>
              <w:rPr>
                <w:sz w:val="20"/>
              </w:rPr>
              <w:t>(0.15</w:t>
            </w:r>
          </w:p>
        </w:tc>
        <w:tc>
          <w:tcPr>
            <w:tcW w:w="103"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015" w:type="dxa"/>
            <w:tcBorders/>
            <w:shd w:fill="CCEEFF" w:val="clear"/>
            <w:tcMar>
              <w:bottom w:w="0" w:type="dxa"/>
            </w:tcMar>
            <w:vAlign w:val="center"/>
          </w:tcPr>
          <w:p>
            <w:pPr>
              <w:pStyle w:val="TableContents"/>
              <w:bidi w:val="0"/>
              <w:spacing w:before="0" w:after="283"/>
              <w:jc w:val="left"/>
              <w:rPr>
                <w:sz w:val="20"/>
              </w:rPr>
            </w:pPr>
            <w:r>
              <w:rPr>
                <w:sz w:val="20"/>
              </w:rPr>
              <w:t>Weighted-average number of common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6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 w:type="dxa"/>
            <w:tcBorders/>
            <w:shd w:fill="CCEEFF" w:val="clear"/>
            <w:tcMar>
              <w:bottom w:w="0" w:type="dxa"/>
            </w:tcMar>
            <w:vAlign w:val="center"/>
          </w:tcPr>
          <w:p>
            <w:pPr>
              <w:pStyle w:val="TableContents"/>
              <w:bidi w:val="0"/>
              <w:spacing w:before="0" w:after="283"/>
              <w:jc w:val="left"/>
              <w:rPr/>
            </w:pPr>
            <w:r>
              <w:rPr/>
              <w:t> </w:t>
            </w:r>
          </w:p>
        </w:tc>
        <w:tc>
          <w:tcPr>
            <w:tcW w:w="115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sz w:val="20"/>
              </w:rPr>
            </w:pPr>
            <w:r>
              <w:rPr>
                <w:sz w:val="20"/>
              </w:rP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vAlign w:val="center"/>
          </w:tcPr>
          <w:p>
            <w:pPr>
              <w:pStyle w:val="TableContents"/>
              <w:bidi w:val="0"/>
              <w:spacing w:before="0" w:after="283"/>
              <w:jc w:val="left"/>
              <w:rPr/>
            </w:pPr>
            <w:r>
              <w:rPr/>
              <w:t> </w:t>
            </w:r>
          </w:p>
        </w:tc>
        <w:tc>
          <w:tcPr>
            <w:tcW w:w="862" w:type="dxa"/>
            <w:tcBorders>
              <w:bottom w:val="double" w:sz="6" w:space="0" w:color="000000"/>
            </w:tcBorders>
            <w:shd w:fill="FFFFFF" w:val="clear"/>
            <w:vAlign w:val="center"/>
          </w:tcPr>
          <w:p>
            <w:pPr>
              <w:pStyle w:val="TableContents"/>
              <w:bidi w:val="0"/>
              <w:spacing w:before="0" w:after="283"/>
              <w:jc w:val="right"/>
              <w:rPr>
                <w:sz w:val="20"/>
              </w:rPr>
            </w:pPr>
            <w:r>
              <w:rPr>
                <w:sz w:val="20"/>
              </w:rPr>
              <w:t>16,096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vAlign w:val="center"/>
          </w:tcPr>
          <w:p>
            <w:pPr>
              <w:pStyle w:val="TableContents"/>
              <w:bidi w:val="0"/>
              <w:spacing w:before="0" w:after="283"/>
              <w:jc w:val="left"/>
              <w:rPr/>
            </w:pPr>
            <w:r>
              <w:rPr/>
              <w:t> </w:t>
            </w:r>
          </w:p>
        </w:tc>
        <w:tc>
          <w:tcPr>
            <w:tcW w:w="1206"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vAlign w:val="center"/>
          </w:tcPr>
          <w:p>
            <w:pPr>
              <w:pStyle w:val="TableContents"/>
              <w:bidi w:val="0"/>
              <w:spacing w:before="0" w:after="283"/>
              <w:jc w:val="left"/>
              <w:rPr/>
            </w:pPr>
            <w:r>
              <w:rPr/>
              <w:t> </w:t>
            </w:r>
          </w:p>
        </w:tc>
        <w:tc>
          <w:tcPr>
            <w:tcW w:w="1152" w:type="dxa"/>
            <w:tcBorders>
              <w:bottom w:val="double" w:sz="6"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vAlign w:val="center"/>
          </w:tcPr>
          <w:p>
            <w:pPr>
              <w:pStyle w:val="TableContents"/>
              <w:bidi w:val="0"/>
              <w:spacing w:before="0" w:after="283"/>
              <w:jc w:val="left"/>
              <w:rPr/>
            </w:pPr>
            <w:r>
              <w:rPr/>
              <w:t> </w:t>
            </w:r>
          </w:p>
        </w:tc>
        <w:tc>
          <w:tcPr>
            <w:tcW w:w="1037" w:type="dxa"/>
            <w:tcBorders>
              <w:bottom w:val="double" w:sz="6" w:space="0" w:color="000000"/>
            </w:tcBorders>
            <w:shd w:fill="FFFFFF" w:val="clear"/>
            <w:vAlign w:val="center"/>
          </w:tcPr>
          <w:p>
            <w:pPr>
              <w:pStyle w:val="TableContents"/>
              <w:bidi w:val="0"/>
              <w:spacing w:before="0" w:after="283"/>
              <w:jc w:val="right"/>
              <w:rPr>
                <w:sz w:val="20"/>
              </w:rPr>
            </w:pPr>
            <w:r>
              <w:rPr>
                <w:sz w:val="20"/>
              </w:rPr>
              <w:t>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pPr>
            <w:r>
              <w:rPr/>
              <w:t> </w:t>
            </w:r>
          </w:p>
        </w:tc>
        <w:tc>
          <w:tcPr>
            <w:tcW w:w="984" w:type="dxa"/>
            <w:tcBorders>
              <w:bottom w:val="double" w:sz="6" w:space="0" w:color="000000"/>
            </w:tcBorders>
            <w:shd w:fill="FFFFFF" w:val="clear"/>
            <w:vAlign w:val="center"/>
          </w:tcPr>
          <w:p>
            <w:pPr>
              <w:pStyle w:val="TableContents"/>
              <w:bidi w:val="0"/>
              <w:spacing w:before="0" w:after="283"/>
              <w:jc w:val="right"/>
              <w:rPr>
                <w:sz w:val="20"/>
              </w:rPr>
            </w:pPr>
            <w:r>
              <w:rPr>
                <w:sz w:val="20"/>
              </w:rPr>
              <w:t>16,176</w:t>
            </w:r>
          </w:p>
        </w:tc>
        <w:tc>
          <w:tcPr>
            <w:tcW w:w="10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2015"/>
        <w:gridCol w:w="60"/>
        <w:gridCol w:w="182"/>
        <w:gridCol w:w="862"/>
        <w:gridCol w:w="80"/>
        <w:gridCol w:w="60"/>
        <w:gridCol w:w="310"/>
        <w:gridCol w:w="1206"/>
        <w:gridCol w:w="80"/>
        <w:gridCol w:w="60"/>
        <w:gridCol w:w="281"/>
        <w:gridCol w:w="1234"/>
        <w:gridCol w:w="80"/>
        <w:gridCol w:w="60"/>
        <w:gridCol w:w="358"/>
        <w:gridCol w:w="60"/>
        <w:gridCol w:w="327"/>
        <w:gridCol w:w="1037"/>
        <w:gridCol w:w="80"/>
        <w:gridCol w:w="60"/>
        <w:gridCol w:w="358"/>
        <w:gridCol w:w="60"/>
        <w:gridCol w:w="208"/>
        <w:gridCol w:w="984"/>
        <w:gridCol w:w="103"/>
      </w:tblGrid>
      <w:tr>
        <w:trPr/>
        <w:tc>
          <w:tcPr>
            <w:tcW w:w="201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Affinity Advisory Network, LLC and AAN Wealth Advisors, LLC</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 Adjustments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Transaction Adjustments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 Pro Forma</w:t>
            </w:r>
          </w:p>
        </w:tc>
        <w:tc>
          <w:tcPr>
            <w:tcW w:w="1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fees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Wealth management fees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3,910</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compensation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Subcontractor and contract labor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(NMO)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2,523</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(income)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8,050</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 and litigation benefit,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and facilities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5,318</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(2,795</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 on debt securities available for sale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interest income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before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Stark Novus Financial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accrued preferred stock dividend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attributable to common shareholders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bottom w:val="double" w:sz="6"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w:t>
            </w:r>
          </w:p>
        </w:tc>
        <w:tc>
          <w:tcPr>
            <w:tcW w:w="1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shareholders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common shares outstanding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8"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16,176</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Notes to Unaudited Pro Forma Condensed Combined Financial Statements </w:t>
      </w:r>
      <w:r>
        <w:rPr>
          <w:rFonts w:ascii="Times New Roman;Times;Serif" w:hAnsi="Times New Roman;Times;Serif"/>
          <w:b w:val="false"/>
          <w:i w:val="false"/>
          <w:caps w:val="false"/>
          <w:smallCaps w:val="false"/>
          <w:sz w:val="20"/>
        </w:rPr>
        <w:t>(dollars in thousands)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to reflect the Acquisition. The unaudited pro forma condensed combined financial information presents the pro forma financial condition and results of operations of Stark based upon the historical financial information of Stark and Affinity after giving effect to the Acquisition and related adjustments set forth in the notes to the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reflect any management adjustments for expected effects of the Acquisition and the other transactions contemplated by the Purchase Agreement, including any costs savings from potential operating efficiencies, or associated costs incurred to achieve such savings, and for synergies that are expected to result from the Acquisition; nor does it include any costs associated with integration activities resulting from the Acquisition to the extent they arise. However, such costs could affect Stark following the closing of the Acquisition in the period the costs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gives effect to the Acquisition as if they had occurred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statements of operations for the six months ended June 30, 2026 and for the year ended December 31, 2025, gives effect to the Acquisition as if it had occurred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Affinity Advisory Holdings Corp., a Delaware corporation (the “Buyer”) and a wholly-owned subsidiary of Stark completed the acquisition of Affinity. The Membership Interest Purchase Agreement (the “Purchase Agreement”) for the transaction was originally signed on June 2, 2026. As previously disclosed, the aggregate consideration payable under the Purchase Agreement consisted of (a) a cash payment at closing of $6,720, subject to customary adjustments for working capital, cash, indebtedness, and transaction expenses; (b) 80,000 shares of Class A common stock of Stark (the “Class A Common Stock”); and (c) shares of the Buyer’s common stock equal to 15% of the Buyer’s issued and outstanding shares immediately following the closing. The Sellers are also eligible to receive a contingent earnout payment of up to $1,312 (plus accrued interest), payable in up to three annual installments of approximately $437 each following the closing, subject to meeting certain insurance-writing thresholds.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Notes to Unaudited Pro Forma Condensed Combined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adjustments were made related to the unaudited pro forma condensed combined balance sheet as of June 30, 2026. Actual results may differ materially from the assumptions and estimates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are based on currently available information and certain estimates and assumptions that the Company believes provide a reasonable basis for presenting the significant effects of the Acquisition. General descriptions of the pro forma adjustments are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Reflects the purchase price allocation adjustments to record Affinity’s assets and liabilities at estimated fair value based on the consideration conveyed, as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components of the Acquisition’s total consideration that are reflected in the unaudited pro forma condensed combined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5097"/>
        <w:gridCol w:w="60"/>
        <w:gridCol w:w="125"/>
        <w:gridCol w:w="485"/>
        <w:gridCol w:w="60"/>
        <w:gridCol w:w="60"/>
        <w:gridCol w:w="4318"/>
      </w:tblGrid>
      <w:tr>
        <w:trPr/>
        <w:tc>
          <w:tcPr>
            <w:tcW w:w="50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8" w:type="dxa"/>
            <w:tcBorders/>
            <w:vAlign w:val="center"/>
          </w:tcPr>
          <w:p>
            <w:pPr>
              <w:pStyle w:val="TableContents"/>
              <w:bidi w:val="0"/>
              <w:spacing w:before="0" w:after="283"/>
              <w:jc w:val="left"/>
              <w:rPr/>
            </w:pPr>
            <w:r>
              <w:rPr/>
              <w:t> </w:t>
            </w:r>
          </w:p>
        </w:tc>
      </w:tr>
      <w:tr>
        <w:trPr/>
        <w:tc>
          <w:tcPr>
            <w:tcW w:w="5097" w:type="dxa"/>
            <w:tcBorders/>
            <w:vAlign w:val="center"/>
          </w:tcPr>
          <w:p>
            <w:pPr>
              <w:pStyle w:val="TableContents"/>
              <w:bidi w:val="0"/>
              <w:spacing w:before="0" w:after="283"/>
              <w:jc w:val="left"/>
              <w:rPr>
                <w:b/>
                <w:sz w:val="20"/>
                <w:u w:val="single"/>
              </w:rPr>
            </w:pPr>
            <w:r>
              <w:rPr>
                <w:b/>
                <w:sz w:val="20"/>
                <w:u w:val="single"/>
              </w:rPr>
              <w:t>Consideration</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Methodology</w:t>
            </w:r>
          </w:p>
        </w:tc>
      </w:tr>
      <w:tr>
        <w:trPr/>
        <w:tc>
          <w:tcPr>
            <w:tcW w:w="50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8" w:type="dxa"/>
            <w:tcBorders/>
            <w:vAlign w:val="center"/>
          </w:tcPr>
          <w:p>
            <w:pPr>
              <w:pStyle w:val="TableContents"/>
              <w:bidi w:val="0"/>
              <w:spacing w:before="0" w:after="283"/>
              <w:jc w:val="left"/>
              <w:rPr/>
            </w:pPr>
            <w:r>
              <w:rPr/>
              <w:t> </w:t>
            </w:r>
          </w:p>
        </w:tc>
      </w:tr>
      <w:tr>
        <w:trPr/>
        <w:tc>
          <w:tcPr>
            <w:tcW w:w="50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318" w:type="dxa"/>
            <w:tcBorders/>
            <w:shd w:fill="CCEEFF" w:val="clear"/>
            <w:vAlign w:val="center"/>
          </w:tcPr>
          <w:p>
            <w:pPr>
              <w:pStyle w:val="TableContents"/>
              <w:bidi w:val="0"/>
              <w:spacing w:before="0" w:after="283"/>
              <w:jc w:val="left"/>
              <w:rPr/>
            </w:pPr>
            <w:r>
              <w:rPr/>
              <w:t> </w:t>
            </w:r>
          </w:p>
        </w:tc>
      </w:tr>
      <w:tr>
        <w:trPr/>
        <w:tc>
          <w:tcPr>
            <w:tcW w:w="50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 shares of Stark Novus Financial Inc. Class A Common Stock issued at closing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8"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Class A Common Stock - 80,000 shares x stock price at date of closing</w:t>
            </w:r>
          </w:p>
        </w:tc>
      </w:tr>
      <w:tr>
        <w:trPr/>
        <w:tc>
          <w:tcPr>
            <w:tcW w:w="50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18"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Montecarlo Method</w:t>
            </w:r>
          </w:p>
        </w:tc>
      </w:tr>
      <w:tr>
        <w:trPr/>
        <w:tc>
          <w:tcPr>
            <w:tcW w:w="50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total consideration transferred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31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 xml:space="preserve">Total cash consideration of $6,936, including in respect of $338 of cash on the balance sheet of Affinity at closing, which was paid for dollar for dollar as part of the purchase price, less net working capital adjustments of $122. </w:t>
            </w:r>
          </w:p>
        </w:tc>
      </w:tr>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8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contingent consideration of $973 represents the value of the earnout payment as described in Note 1 – </w:t>
            </w:r>
            <w:r>
              <w:rPr>
                <w:rFonts w:ascii="Times New Roman;Times;Serif" w:hAnsi="Times New Roman;Times;Serif"/>
                <w:b w:val="false"/>
                <w:i/>
                <w:caps w:val="false"/>
                <w:smallCaps w:val="false"/>
                <w:sz w:val="20"/>
              </w:rPr>
              <w:t>The Acquisition</w:t>
            </w:r>
            <w:r>
              <w:rPr>
                <w:rFonts w:ascii="Times New Roman;Times;Serif" w:hAnsi="Times New Roman;Times;Serif"/>
                <w:b w:val="false"/>
                <w:i w:val="false"/>
                <w:caps w:val="false"/>
                <w:smallCaps w:val="false"/>
                <w:sz w:val="20"/>
              </w:rPr>
              <w:t>, which is accounted for as a current of $368 and a non-current liability of $605, marked to fair value each quarter with changes recorded through the statement of income.</w:t>
            </w:r>
          </w:p>
        </w:tc>
      </w:tr>
    </w:tbl>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estimated purchase price is allocated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5"/>
        <w:gridCol w:w="60"/>
        <w:gridCol w:w="163"/>
        <w:gridCol w:w="635"/>
        <w:gridCol w:w="60"/>
        <w:gridCol w:w="60"/>
        <w:gridCol w:w="189"/>
        <w:gridCol w:w="726"/>
        <w:gridCol w:w="60"/>
        <w:gridCol w:w="60"/>
        <w:gridCol w:w="5317"/>
      </w:tblGrid>
      <w:tr>
        <w:trPr/>
        <w:tc>
          <w:tcPr>
            <w:tcW w:w="287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Net assets acquired: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w:t>
              <w:br/>
              <w:t>Useful Life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Valuation Method</w:t>
            </w:r>
          </w:p>
        </w:tc>
      </w:tr>
      <w:tr>
        <w:trPr/>
        <w:tc>
          <w:tcPr>
            <w:tcW w:w="2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working capital including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1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 and trademarks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Relief from Royalty Method</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Marketing Organization Agreement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With-and-Without Method</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With-and-Without Method</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Multi-period Excess Earnings Method</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Multi-period Excess Earnings Method</w:t>
            </w:r>
          </w:p>
        </w:tc>
      </w:tr>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1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1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1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1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Value Conveyed: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1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7" w:type="dxa"/>
            <w:tcBorders/>
            <w:shd w:fill="CCEEFF" w:val="clear"/>
            <w:vAlign w:val="center"/>
          </w:tcPr>
          <w:p>
            <w:pPr>
              <w:pStyle w:val="TableContents"/>
              <w:bidi w:val="0"/>
              <w:spacing w:before="0" w:after="283"/>
              <w:jc w:val="left"/>
              <w:rPr>
                <w:sz w:val="20"/>
              </w:rPr>
            </w:pPr>
            <w:r>
              <w:rPr>
                <w:sz w:val="20"/>
              </w:rPr>
              <w:t>Discounted cash flow method utilizing a weighted average cost of capital rate. Level 3 investment.</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National Marketing Organization Agreement (“NMO”) is referring to the agreement the Company has with a single insurance company where it derives a significant portion of its revenue from insurance products written through. For the six months ended June 30, 2026, commissions on products written through that insurance company accounted for approximately 77% of total insurance advisory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was allocated among the identified assets to be acquired. Goodwill was recognized as a result of the acquisition, which represents the excess fair value of consideration over the fair value of the underlying net assets, largely arising from the extensive industry expertise of Affinity. This was considered appropriate based on the determination that the Acquisition would be accounted for as a business combination under ASC 805. The estimates of, and assumptions related to, fair value of assets acquired and liabilities assumed as of the Closing Date are based upon preliminary valuation assumptions believed by management to be reasonable, but which are inherently uncertain and unpredictable. Such assumptions are based on currently available information and market data. Because the unaudited pro forma combined consolidated financial information has been prepared based on these preliminary estimates, the final purchase price allocation and the resulting effect on financial position and results of operations may differ significantly from the pro forma amounts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Reflects the payment of transaction costs of $377, including certain legal, accounting, due diligence, and other related costs, incurred after the financial statement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Reflects the non-controlling interest value in Affinity of $1,490 and classified as temporary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Reflects the repayment at closing of outstanding indebtedness of Affinity, consisting of the outstanding balance on the revolving line of credit of $261 and credit card obligations of $164 totaling a receivable of $425, funded from cash consideration paid at closing. This repayment is presented separately from the cash on Affinity’s balance sheet at closing of $338.</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Notes to Unaudited Pro Forma Condensed Combined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adjustments were made related to the unaudited pro forma condensed combined statements of operations for the six months ended June 30, 2026 and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Reflects the adjustment to eliminate the interest expense related to the line of credit and credit cards of $21 for the six months ended June 30, 2026 and $44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Reflects the adjustment to record the amortization expense of identifiable intangible assets, which are amortized on a straight-line basis over their useful lives, of $44 related to the NMO, $149 related to the other intangibles for the six months ended June 30, 2026 and $87 relate to the NMO and $298 related to other intangibles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Reflects the adjustment to record $29 for the six months ended June 30, 2026 and $58 for the year ended December 31, 2025 related to the non-controlling interest’s 15% of Affinity’s income.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Reflects the reclassifications of $479 of general and administrative expenses and $55 of occupancy and facilities expenses for the six months ended June 30, 2026 to selling, general and administrative expenses and of $1,155 of general and administrative expenses and $127 of occupancy and facilities expenses for the year ended December 30, 2025 to selling, general and administrative expenses to conform the acquiree’s financial statements to Stark’s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Unaudited Pro Forma Net (loss)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attributable to common shares by the weighted average number of common shares outstanding during the period after adjusting for the impact of securities that would have a dilutive effect on net income per share. Because the Company is in a net loss position for both periods presented, any securities would have an anti-dilutive effect.</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pPr>
            <w:r>
              <w:rPr/>
              <w:t>Page 7</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12147</Words>
  <Characters>66459</Characters>
  <CharactersWithSpaces>80448</CharactersWithSpaces>
  <Paragraphs>5086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