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bookmarkStart w:id="0" w:name="formdefa14a.htm"/>
      <w:bookmarkStart w:id="1" w:name="ksformdefa14a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SCHEDULE 14A INFORMATION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Proxy Statement Pursuant to Section 14(a)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of 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(Amendment No.               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the Registrant ☒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a Party other than the Registrant 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70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675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Preliminary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Confidential, for Use of the Commission Only (as permitted by Rule 14a-6(e) (2))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Definitive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6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Definitive Additional Materials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Soliciting Material Pursuant to Section 240.14a-11(c) or Section 240.14a-12</w:t>
            </w:r>
          </w:p>
        </w:tc>
      </w:tr>
    </w:tbl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STARK NOVUS FINANCIAL INC.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Payment of Filing Fee (Check the appropriate box):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4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819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8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No fee required.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8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8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Fee computed on table in exhibit required by Item 25(b) per Exchange Act Rules 14a6(i)(1) and 0-11</w:t>
            </w:r>
          </w:p>
        </w:tc>
      </w:tr>
    </w:tbl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5486400" cy="710057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10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5486400" cy="700913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00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142</Words>
  <Characters>775</Characters>
  <CharactersWithSpaces>928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